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696294" w14:textId="77777777" w:rsidR="00642607" w:rsidRPr="00DA6748" w:rsidRDefault="00642607" w:rsidP="003B2994">
      <w:pPr>
        <w:jc w:val="center"/>
        <w:rPr>
          <w:b/>
          <w:szCs w:val="24"/>
        </w:rPr>
      </w:pPr>
      <w:bookmarkStart w:id="0" w:name="_CITRUS_ITALIC"/>
      <w:bookmarkStart w:id="1" w:name="_GoBack"/>
      <w:bookmarkEnd w:id="0"/>
      <w:bookmarkEnd w:id="1"/>
      <w:r w:rsidRPr="00DA6748">
        <w:rPr>
          <w:b/>
          <w:szCs w:val="24"/>
        </w:rPr>
        <w:t>UNITED STATES DISTRICT COURT</w:t>
      </w:r>
    </w:p>
    <w:p w14:paraId="55F78714" w14:textId="77777777" w:rsidR="00642607" w:rsidRPr="00DA6748" w:rsidRDefault="00642607" w:rsidP="003B2994">
      <w:pPr>
        <w:pBdr>
          <w:bottom w:val="single" w:sz="6" w:space="1" w:color="auto"/>
        </w:pBdr>
        <w:jc w:val="center"/>
        <w:rPr>
          <w:b/>
          <w:szCs w:val="24"/>
        </w:rPr>
      </w:pPr>
      <w:r w:rsidRPr="00DA6748">
        <w:rPr>
          <w:b/>
          <w:szCs w:val="24"/>
        </w:rPr>
        <w:t>DISTRICT OF MOOT</w:t>
      </w:r>
    </w:p>
    <w:p w14:paraId="1405F6C4" w14:textId="77777777" w:rsidR="00642607" w:rsidRPr="00DA6748" w:rsidRDefault="00642607" w:rsidP="003B2994">
      <w:pPr>
        <w:jc w:val="center"/>
        <w:rPr>
          <w:b/>
          <w:szCs w:val="24"/>
        </w:rPr>
      </w:pPr>
    </w:p>
    <w:tbl>
      <w:tblPr>
        <w:tblpPr w:leftFromText="180" w:rightFromText="180" w:vertAnchor="text" w:tblpY="1"/>
        <w:tblOverlap w:val="never"/>
        <w:tblW w:w="0" w:type="auto"/>
        <w:tblLayout w:type="fixed"/>
        <w:tblLook w:val="0000" w:firstRow="0" w:lastRow="0" w:firstColumn="0" w:lastColumn="0" w:noHBand="0" w:noVBand="0"/>
      </w:tblPr>
      <w:tblGrid>
        <w:gridCol w:w="4428"/>
        <w:gridCol w:w="4428"/>
      </w:tblGrid>
      <w:tr w:rsidR="00642607" w:rsidRPr="00DA6748" w14:paraId="0B2509B5" w14:textId="77777777" w:rsidTr="00024030">
        <w:tc>
          <w:tcPr>
            <w:tcW w:w="4428" w:type="dxa"/>
          </w:tcPr>
          <w:p w14:paraId="43D87147" w14:textId="77777777" w:rsidR="00642607" w:rsidRPr="00DA6748" w:rsidRDefault="00642607" w:rsidP="003B2994">
            <w:pPr>
              <w:pStyle w:val="Footer"/>
              <w:widowControl w:val="0"/>
              <w:tabs>
                <w:tab w:val="clear" w:pos="4320"/>
                <w:tab w:val="clear" w:pos="8640"/>
              </w:tabs>
              <w:rPr>
                <w:snapToGrid w:val="0"/>
                <w:szCs w:val="24"/>
              </w:rPr>
            </w:pPr>
            <w:r w:rsidRPr="00DA6748">
              <w:rPr>
                <w:snapToGrid w:val="0"/>
                <w:szCs w:val="24"/>
              </w:rPr>
              <w:t>OGS TV, Inc.</w:t>
            </w:r>
          </w:p>
          <w:p w14:paraId="617E93D9" w14:textId="77777777" w:rsidR="00642607" w:rsidRPr="00DA6748" w:rsidRDefault="00642607" w:rsidP="003B2994">
            <w:pPr>
              <w:pStyle w:val="Footer"/>
              <w:widowControl w:val="0"/>
              <w:tabs>
                <w:tab w:val="clear" w:pos="4320"/>
                <w:tab w:val="clear" w:pos="8640"/>
              </w:tabs>
              <w:rPr>
                <w:snapToGrid w:val="0"/>
                <w:szCs w:val="24"/>
              </w:rPr>
            </w:pPr>
            <w:r w:rsidRPr="00DA6748">
              <w:rPr>
                <w:snapToGrid w:val="0"/>
                <w:szCs w:val="24"/>
              </w:rPr>
              <w:t xml:space="preserve">                          Plaintiff,</w:t>
            </w:r>
          </w:p>
        </w:tc>
        <w:tc>
          <w:tcPr>
            <w:tcW w:w="4428" w:type="dxa"/>
          </w:tcPr>
          <w:p w14:paraId="4FFACA9E" w14:textId="77777777" w:rsidR="00642607" w:rsidRPr="00DA6748" w:rsidRDefault="00642607" w:rsidP="003B2994">
            <w:pPr>
              <w:pStyle w:val="Footer"/>
              <w:widowControl w:val="0"/>
              <w:tabs>
                <w:tab w:val="clear" w:pos="4320"/>
                <w:tab w:val="clear" w:pos="8640"/>
              </w:tabs>
              <w:rPr>
                <w:snapToGrid w:val="0"/>
                <w:szCs w:val="24"/>
              </w:rPr>
            </w:pPr>
            <w:r w:rsidRPr="00DA6748">
              <w:rPr>
                <w:snapToGrid w:val="0"/>
                <w:szCs w:val="24"/>
              </w:rPr>
              <w:t xml:space="preserve">               Court file No. 27-CV-12-1234</w:t>
            </w:r>
          </w:p>
          <w:p w14:paraId="633BE09E" w14:textId="77777777" w:rsidR="0035450F" w:rsidRPr="00DA6748" w:rsidRDefault="0035450F" w:rsidP="003B2994">
            <w:pPr>
              <w:pStyle w:val="Footer"/>
              <w:widowControl w:val="0"/>
              <w:tabs>
                <w:tab w:val="clear" w:pos="4320"/>
                <w:tab w:val="clear" w:pos="8640"/>
              </w:tabs>
              <w:rPr>
                <w:snapToGrid w:val="0"/>
                <w:szCs w:val="24"/>
              </w:rPr>
            </w:pPr>
          </w:p>
        </w:tc>
      </w:tr>
      <w:tr w:rsidR="0035450F" w:rsidRPr="00DA6748" w14:paraId="088D0D72" w14:textId="77777777" w:rsidTr="006276D5">
        <w:tc>
          <w:tcPr>
            <w:tcW w:w="4428" w:type="dxa"/>
          </w:tcPr>
          <w:p w14:paraId="26F22558" w14:textId="77777777" w:rsidR="0035450F" w:rsidRPr="00DA6748" w:rsidRDefault="0035450F" w:rsidP="003B2994">
            <w:pPr>
              <w:pStyle w:val="Footer"/>
              <w:widowControl w:val="0"/>
              <w:tabs>
                <w:tab w:val="clear" w:pos="4320"/>
                <w:tab w:val="clear" w:pos="8640"/>
              </w:tabs>
              <w:rPr>
                <w:snapToGrid w:val="0"/>
                <w:szCs w:val="24"/>
              </w:rPr>
            </w:pPr>
          </w:p>
          <w:p w14:paraId="328F6A79" w14:textId="77777777" w:rsidR="0035450F" w:rsidRPr="00DA6748" w:rsidRDefault="0035450F" w:rsidP="003B2994">
            <w:pPr>
              <w:pStyle w:val="Footer"/>
              <w:widowControl w:val="0"/>
              <w:tabs>
                <w:tab w:val="clear" w:pos="4320"/>
                <w:tab w:val="clear" w:pos="8640"/>
              </w:tabs>
              <w:rPr>
                <w:snapToGrid w:val="0"/>
                <w:szCs w:val="24"/>
              </w:rPr>
            </w:pPr>
            <w:r w:rsidRPr="00DA6748">
              <w:rPr>
                <w:snapToGrid w:val="0"/>
                <w:szCs w:val="24"/>
              </w:rPr>
              <w:t>v.</w:t>
            </w:r>
          </w:p>
        </w:tc>
        <w:tc>
          <w:tcPr>
            <w:tcW w:w="4428" w:type="dxa"/>
          </w:tcPr>
          <w:p w14:paraId="42F48510" w14:textId="77777777" w:rsidR="0035450F" w:rsidRPr="00DA6748" w:rsidRDefault="0035450F" w:rsidP="003B2994">
            <w:pPr>
              <w:pStyle w:val="Footer"/>
              <w:widowControl w:val="0"/>
              <w:tabs>
                <w:tab w:val="left" w:pos="720"/>
              </w:tabs>
              <w:rPr>
                <w:snapToGrid w:val="0"/>
                <w:szCs w:val="24"/>
              </w:rPr>
            </w:pPr>
            <w:r w:rsidRPr="00DA6748">
              <w:rPr>
                <w:snapToGrid w:val="0"/>
                <w:szCs w:val="24"/>
              </w:rPr>
              <w:t xml:space="preserve">               PLAINTIFF’S MEMORANDUM</w:t>
            </w:r>
          </w:p>
          <w:p w14:paraId="39A1A03D" w14:textId="77777777" w:rsidR="0035450F" w:rsidRPr="00DA6748" w:rsidRDefault="0035450F" w:rsidP="003B2994">
            <w:pPr>
              <w:snapToGrid w:val="0"/>
              <w:rPr>
                <w:szCs w:val="24"/>
              </w:rPr>
            </w:pPr>
            <w:r w:rsidRPr="00DA6748">
              <w:rPr>
                <w:szCs w:val="24"/>
              </w:rPr>
              <w:t xml:space="preserve">               IN OPPOSITION OF</w:t>
            </w:r>
          </w:p>
        </w:tc>
      </w:tr>
      <w:tr w:rsidR="0035450F" w:rsidRPr="00DA6748" w14:paraId="6D577E00" w14:textId="77777777" w:rsidTr="006276D5">
        <w:tc>
          <w:tcPr>
            <w:tcW w:w="4428" w:type="dxa"/>
          </w:tcPr>
          <w:p w14:paraId="26497441" w14:textId="77777777" w:rsidR="0035450F" w:rsidRPr="00DA6748" w:rsidRDefault="0035450F" w:rsidP="003B2994">
            <w:pPr>
              <w:pStyle w:val="Footer"/>
              <w:widowControl w:val="0"/>
              <w:tabs>
                <w:tab w:val="clear" w:pos="4320"/>
                <w:tab w:val="clear" w:pos="8640"/>
              </w:tabs>
              <w:rPr>
                <w:snapToGrid w:val="0"/>
                <w:szCs w:val="24"/>
              </w:rPr>
            </w:pPr>
          </w:p>
          <w:p w14:paraId="6AFDB109" w14:textId="77777777" w:rsidR="0035450F" w:rsidRPr="00DA6748" w:rsidRDefault="0035450F" w:rsidP="003B2994">
            <w:pPr>
              <w:pStyle w:val="Footer"/>
              <w:widowControl w:val="0"/>
              <w:tabs>
                <w:tab w:val="clear" w:pos="4320"/>
                <w:tab w:val="clear" w:pos="8640"/>
              </w:tabs>
              <w:rPr>
                <w:snapToGrid w:val="0"/>
                <w:szCs w:val="24"/>
              </w:rPr>
            </w:pPr>
            <w:r w:rsidRPr="00DA6748">
              <w:rPr>
                <w:snapToGrid w:val="0"/>
                <w:szCs w:val="24"/>
              </w:rPr>
              <w:t xml:space="preserve">Elizabeth Lime, and </w:t>
            </w:r>
            <w:proofErr w:type="spellStart"/>
            <w:r w:rsidRPr="00DA6748">
              <w:rPr>
                <w:snapToGrid w:val="0"/>
                <w:szCs w:val="24"/>
              </w:rPr>
              <w:t>TinyTV</w:t>
            </w:r>
            <w:proofErr w:type="spellEnd"/>
            <w:r w:rsidRPr="00DA6748">
              <w:rPr>
                <w:snapToGrid w:val="0"/>
                <w:szCs w:val="24"/>
              </w:rPr>
              <w:t>, Inc.,</w:t>
            </w:r>
          </w:p>
          <w:p w14:paraId="217D94CA" w14:textId="77777777" w:rsidR="0035450F" w:rsidRPr="00DA6748" w:rsidRDefault="0035450F" w:rsidP="003B2994">
            <w:pPr>
              <w:pStyle w:val="Footer"/>
              <w:widowControl w:val="0"/>
              <w:tabs>
                <w:tab w:val="clear" w:pos="4320"/>
                <w:tab w:val="clear" w:pos="8640"/>
              </w:tabs>
              <w:rPr>
                <w:snapToGrid w:val="0"/>
                <w:szCs w:val="24"/>
              </w:rPr>
            </w:pPr>
            <w:r w:rsidRPr="00DA6748">
              <w:rPr>
                <w:snapToGrid w:val="0"/>
                <w:szCs w:val="24"/>
              </w:rPr>
              <w:t xml:space="preserve">                        Defendants.</w:t>
            </w:r>
          </w:p>
        </w:tc>
        <w:tc>
          <w:tcPr>
            <w:tcW w:w="4428" w:type="dxa"/>
          </w:tcPr>
          <w:p w14:paraId="69C1E039" w14:textId="77777777" w:rsidR="0035450F" w:rsidRPr="00DA6748" w:rsidRDefault="0035450F" w:rsidP="003B2994">
            <w:pPr>
              <w:rPr>
                <w:szCs w:val="24"/>
              </w:rPr>
            </w:pPr>
            <w:r w:rsidRPr="00DA6748">
              <w:rPr>
                <w:szCs w:val="24"/>
              </w:rPr>
              <w:t xml:space="preserve">               DEFENDANT’S MOTION</w:t>
            </w:r>
          </w:p>
          <w:p w14:paraId="4DC3D88D" w14:textId="77777777" w:rsidR="0035450F" w:rsidRPr="00DA6748" w:rsidRDefault="0035450F" w:rsidP="003B2994">
            <w:pPr>
              <w:snapToGrid w:val="0"/>
              <w:rPr>
                <w:szCs w:val="24"/>
              </w:rPr>
            </w:pPr>
            <w:r w:rsidRPr="00DA6748">
              <w:rPr>
                <w:szCs w:val="24"/>
              </w:rPr>
              <w:t xml:space="preserve">               MOTION TO DISMISS</w:t>
            </w:r>
          </w:p>
        </w:tc>
      </w:tr>
    </w:tbl>
    <w:p w14:paraId="5089AB9A" w14:textId="77777777" w:rsidR="00642607" w:rsidRPr="00DA6748" w:rsidRDefault="00024030" w:rsidP="003B2994">
      <w:pPr>
        <w:pBdr>
          <w:bottom w:val="single" w:sz="6" w:space="1" w:color="auto"/>
        </w:pBdr>
        <w:rPr>
          <w:szCs w:val="24"/>
        </w:rPr>
      </w:pPr>
      <w:r w:rsidRPr="00DA6748">
        <w:rPr>
          <w:szCs w:val="24"/>
        </w:rPr>
        <w:br w:type="textWrapping" w:clear="all"/>
      </w:r>
    </w:p>
    <w:p w14:paraId="4C891879" w14:textId="77777777" w:rsidR="00024030" w:rsidRPr="00A54240" w:rsidRDefault="00642607" w:rsidP="00A54240">
      <w:pPr>
        <w:pStyle w:val="Heading2"/>
        <w:spacing w:before="0" w:line="480" w:lineRule="auto"/>
        <w:rPr>
          <w:rFonts w:cs="Times New Roman"/>
          <w:szCs w:val="24"/>
        </w:rPr>
      </w:pPr>
      <w:bookmarkStart w:id="2" w:name="CITRUS_HEADING147094554"/>
      <w:r w:rsidRPr="00DA6748">
        <w:rPr>
          <w:rFonts w:cs="Times New Roman"/>
          <w:szCs w:val="24"/>
        </w:rPr>
        <w:t>INTRODUCTION</w:t>
      </w:r>
      <w:r w:rsidR="00C231AA" w:rsidRPr="00DA6748">
        <w:rPr>
          <w:szCs w:val="24"/>
        </w:rPr>
        <w:t xml:space="preserve"> </w:t>
      </w:r>
    </w:p>
    <w:bookmarkEnd w:id="2"/>
    <w:p w14:paraId="427CB884" w14:textId="77777777" w:rsidR="000F514B" w:rsidRPr="00DA6748" w:rsidRDefault="00024030" w:rsidP="00370215">
      <w:pPr>
        <w:pStyle w:val="BodyText"/>
        <w:spacing w:line="480" w:lineRule="auto"/>
        <w:jc w:val="left"/>
        <w:rPr>
          <w:szCs w:val="24"/>
        </w:rPr>
      </w:pPr>
      <w:r w:rsidRPr="00DA6748">
        <w:rPr>
          <w:szCs w:val="24"/>
        </w:rPr>
        <w:tab/>
        <w:t xml:space="preserve">In this case, </w:t>
      </w:r>
      <w:r w:rsidR="00627900">
        <w:rPr>
          <w:szCs w:val="24"/>
        </w:rPr>
        <w:t xml:space="preserve">the Plaintiff, </w:t>
      </w:r>
      <w:r w:rsidRPr="00DA6748">
        <w:rPr>
          <w:szCs w:val="24"/>
        </w:rPr>
        <w:t xml:space="preserve">OGS </w:t>
      </w:r>
      <w:r w:rsidR="00627900">
        <w:rPr>
          <w:szCs w:val="24"/>
        </w:rPr>
        <w:t xml:space="preserve">TV, Inc. (“OGS”), </w:t>
      </w:r>
      <w:r w:rsidRPr="00DA6748">
        <w:rPr>
          <w:szCs w:val="24"/>
        </w:rPr>
        <w:t xml:space="preserve">alleges a claim of copyright infringement </w:t>
      </w:r>
      <w:r w:rsidR="00C231AA" w:rsidRPr="00DA6748">
        <w:rPr>
          <w:szCs w:val="24"/>
        </w:rPr>
        <w:t xml:space="preserve">under the federal Copyright Act of 1976, </w:t>
      </w:r>
      <w:bookmarkStart w:id="3" w:name="CITRUS_BOOKMARK1000000002"/>
      <w:r w:rsidR="00C231AA" w:rsidRPr="00622751">
        <w:rPr>
          <w:szCs w:val="24"/>
        </w:rPr>
        <w:t>17 U.S.C. §</w:t>
      </w:r>
      <w:r w:rsidR="003653F5" w:rsidRPr="00622751">
        <w:rPr>
          <w:szCs w:val="24"/>
        </w:rPr>
        <w:t>§</w:t>
      </w:r>
      <w:r w:rsidR="00C231AA" w:rsidRPr="00622751">
        <w:rPr>
          <w:szCs w:val="24"/>
        </w:rPr>
        <w:t xml:space="preserve"> 101</w:t>
      </w:r>
      <w:r w:rsidR="00B347F2" w:rsidRPr="00622751">
        <w:rPr>
          <w:szCs w:val="24"/>
        </w:rPr>
        <w:t>,</w:t>
      </w:r>
      <w:r w:rsidR="00C231AA" w:rsidRPr="00622751">
        <w:rPr>
          <w:szCs w:val="24"/>
        </w:rPr>
        <w:t xml:space="preserve"> </w:t>
      </w:r>
      <w:r w:rsidR="00C231AA" w:rsidRPr="00622751">
        <w:rPr>
          <w:i/>
          <w:szCs w:val="24"/>
        </w:rPr>
        <w:t>et seq</w:t>
      </w:r>
      <w:r w:rsidR="00553863" w:rsidRPr="00622751">
        <w:rPr>
          <w:i/>
          <w:szCs w:val="24"/>
        </w:rPr>
        <w:t>.</w:t>
      </w:r>
      <w:r w:rsidR="00C231AA" w:rsidRPr="00622751">
        <w:rPr>
          <w:szCs w:val="24"/>
        </w:rPr>
        <w:t xml:space="preserve"> </w:t>
      </w:r>
      <w:r w:rsidR="00622751" w:rsidRPr="00622751">
        <w:rPr>
          <w:szCs w:val="24"/>
        </w:rPr>
        <w:t>(“the Act”</w:t>
      </w:r>
      <w:r w:rsidR="00553863" w:rsidRPr="00622751">
        <w:rPr>
          <w:szCs w:val="24"/>
        </w:rPr>
        <w:t>)</w:t>
      </w:r>
      <w:bookmarkEnd w:id="3"/>
      <w:r w:rsidR="00553863" w:rsidRPr="00DA6748">
        <w:rPr>
          <w:szCs w:val="24"/>
        </w:rPr>
        <w:t xml:space="preserve"> </w:t>
      </w:r>
      <w:r w:rsidRPr="00DA6748">
        <w:rPr>
          <w:szCs w:val="24"/>
        </w:rPr>
        <w:t>against the Defen</w:t>
      </w:r>
      <w:r w:rsidR="009A7F36" w:rsidRPr="00DA6748">
        <w:rPr>
          <w:szCs w:val="24"/>
        </w:rPr>
        <w:t>dants</w:t>
      </w:r>
      <w:r w:rsidR="003653F5" w:rsidRPr="00DA6748">
        <w:rPr>
          <w:szCs w:val="24"/>
        </w:rPr>
        <w:t>, Elizabeth Lime (“Lim</w:t>
      </w:r>
      <w:r w:rsidR="00A54240">
        <w:rPr>
          <w:szCs w:val="24"/>
        </w:rPr>
        <w:t xml:space="preserve">e”) and </w:t>
      </w:r>
      <w:proofErr w:type="spellStart"/>
      <w:r w:rsidR="00A54240">
        <w:rPr>
          <w:szCs w:val="24"/>
        </w:rPr>
        <w:t>TinyTV</w:t>
      </w:r>
      <w:proofErr w:type="spellEnd"/>
      <w:r w:rsidR="00A54240">
        <w:rPr>
          <w:szCs w:val="24"/>
        </w:rPr>
        <w:t>, Inc. (“</w:t>
      </w:r>
      <w:proofErr w:type="spellStart"/>
      <w:r w:rsidR="00A54240">
        <w:rPr>
          <w:szCs w:val="24"/>
        </w:rPr>
        <w:t>TinyTV</w:t>
      </w:r>
      <w:proofErr w:type="spellEnd"/>
      <w:r w:rsidR="00A54240">
        <w:rPr>
          <w:szCs w:val="24"/>
        </w:rPr>
        <w:t>”).</w:t>
      </w:r>
      <w:r w:rsidR="009A7F36" w:rsidRPr="00DA6748">
        <w:rPr>
          <w:szCs w:val="24"/>
        </w:rPr>
        <w:t xml:space="preserve"> </w:t>
      </w:r>
      <w:r w:rsidR="00627900">
        <w:rPr>
          <w:szCs w:val="24"/>
        </w:rPr>
        <w:t>L</w:t>
      </w:r>
      <w:r w:rsidR="00C47C78">
        <w:rPr>
          <w:szCs w:val="24"/>
        </w:rPr>
        <w:t xml:space="preserve">ime </w:t>
      </w:r>
      <w:r w:rsidR="00627900">
        <w:rPr>
          <w:szCs w:val="24"/>
        </w:rPr>
        <w:t>orally contracted</w:t>
      </w:r>
      <w:r w:rsidR="00C47C78">
        <w:rPr>
          <w:szCs w:val="24"/>
        </w:rPr>
        <w:t xml:space="preserve"> </w:t>
      </w:r>
      <w:r w:rsidR="00627900">
        <w:rPr>
          <w:szCs w:val="24"/>
        </w:rPr>
        <w:t>with</w:t>
      </w:r>
      <w:r w:rsidR="00C47C78">
        <w:rPr>
          <w:szCs w:val="24"/>
        </w:rPr>
        <w:t xml:space="preserve"> </w:t>
      </w:r>
      <w:r w:rsidR="00627900">
        <w:rPr>
          <w:szCs w:val="24"/>
        </w:rPr>
        <w:t>OGS under a “work for hire” agreement</w:t>
      </w:r>
      <w:r w:rsidR="00C47C78">
        <w:rPr>
          <w:szCs w:val="24"/>
        </w:rPr>
        <w:t>,</w:t>
      </w:r>
      <w:r w:rsidR="00A54240" w:rsidRPr="00DA6748">
        <w:rPr>
          <w:szCs w:val="24"/>
        </w:rPr>
        <w:t xml:space="preserve"> </w:t>
      </w:r>
      <w:r w:rsidR="00C47C78">
        <w:rPr>
          <w:szCs w:val="24"/>
        </w:rPr>
        <w:t xml:space="preserve">which both parties later memorialized in a written instrument, </w:t>
      </w:r>
      <w:r w:rsidR="00A54240" w:rsidRPr="00DA6748">
        <w:rPr>
          <w:szCs w:val="24"/>
        </w:rPr>
        <w:t xml:space="preserve">to produce </w:t>
      </w:r>
      <w:r w:rsidR="00627900">
        <w:rPr>
          <w:szCs w:val="24"/>
        </w:rPr>
        <w:t xml:space="preserve">an episode </w:t>
      </w:r>
      <w:r w:rsidR="00A54240" w:rsidRPr="00DA6748">
        <w:rPr>
          <w:szCs w:val="24"/>
        </w:rPr>
        <w:t xml:space="preserve">for OGS’s television series </w:t>
      </w:r>
      <w:r w:rsidR="00A54240" w:rsidRPr="00DA6748">
        <w:rPr>
          <w:i/>
          <w:szCs w:val="24"/>
        </w:rPr>
        <w:t>Lawless Love</w:t>
      </w:r>
      <w:r w:rsidR="00A54240" w:rsidRPr="00DA6748">
        <w:rPr>
          <w:szCs w:val="24"/>
        </w:rPr>
        <w:t>.</w:t>
      </w:r>
      <w:r w:rsidR="00A54240">
        <w:rPr>
          <w:szCs w:val="24"/>
        </w:rPr>
        <w:t xml:space="preserve"> </w:t>
      </w:r>
      <w:r w:rsidR="00627900">
        <w:rPr>
          <w:szCs w:val="24"/>
        </w:rPr>
        <w:t xml:space="preserve">When OGS did not use the work it paid Lime to create, Lime sold the work to </w:t>
      </w:r>
      <w:proofErr w:type="spellStart"/>
      <w:r w:rsidR="00627900">
        <w:rPr>
          <w:szCs w:val="24"/>
        </w:rPr>
        <w:t>TinyTV</w:t>
      </w:r>
      <w:proofErr w:type="spellEnd"/>
      <w:r w:rsidR="004C1BA8">
        <w:rPr>
          <w:szCs w:val="24"/>
        </w:rPr>
        <w:t xml:space="preserve">, who produced a pilot episode based on the work. </w:t>
      </w:r>
      <w:r w:rsidR="00C47C78">
        <w:rPr>
          <w:szCs w:val="24"/>
        </w:rPr>
        <w:t>The Defendants, in an effort to get out of the oral and written agreements between OGS and Lime, are attempting to add into the plain language of the Act a temporal restriction that does not exist</w:t>
      </w:r>
      <w:r w:rsidR="00DF7782">
        <w:rPr>
          <w:szCs w:val="24"/>
        </w:rPr>
        <w:t xml:space="preserve"> for “work for hire” agreements.</w:t>
      </w:r>
    </w:p>
    <w:p w14:paraId="45BF82A2" w14:textId="77777777" w:rsidR="00642607" w:rsidRPr="00DA6748" w:rsidRDefault="00DF7782" w:rsidP="00370215">
      <w:pPr>
        <w:pStyle w:val="BodyText"/>
        <w:spacing w:line="480" w:lineRule="auto"/>
        <w:ind w:firstLine="720"/>
        <w:jc w:val="left"/>
        <w:rPr>
          <w:szCs w:val="24"/>
        </w:rPr>
      </w:pPr>
      <w:r>
        <w:rPr>
          <w:szCs w:val="24"/>
        </w:rPr>
        <w:t>OGS prevails in this motion because (1) the</w:t>
      </w:r>
      <w:r w:rsidR="00622751">
        <w:rPr>
          <w:szCs w:val="24"/>
        </w:rPr>
        <w:t xml:space="preserve"> plain </w:t>
      </w:r>
      <w:r>
        <w:rPr>
          <w:szCs w:val="24"/>
        </w:rPr>
        <w:t xml:space="preserve">language </w:t>
      </w:r>
      <w:r w:rsidR="00622751">
        <w:rPr>
          <w:szCs w:val="24"/>
        </w:rPr>
        <w:t>text</w:t>
      </w:r>
      <w:r w:rsidR="000F514B" w:rsidRPr="00DA6748">
        <w:rPr>
          <w:szCs w:val="24"/>
        </w:rPr>
        <w:t xml:space="preserve"> of </w:t>
      </w:r>
      <w:bookmarkStart w:id="4" w:name="CITRUS_BOOKMARK1000000003"/>
      <w:r w:rsidR="00553863" w:rsidRPr="00DA6748">
        <w:rPr>
          <w:szCs w:val="24"/>
        </w:rPr>
        <w:t>§ 101(2)</w:t>
      </w:r>
      <w:bookmarkEnd w:id="4"/>
      <w:r>
        <w:rPr>
          <w:szCs w:val="24"/>
        </w:rPr>
        <w:t xml:space="preserve"> do</w:t>
      </w:r>
      <w:r w:rsidR="00C04D5C">
        <w:rPr>
          <w:szCs w:val="24"/>
        </w:rPr>
        <w:t>es</w:t>
      </w:r>
      <w:r>
        <w:rPr>
          <w:szCs w:val="24"/>
        </w:rPr>
        <w:t xml:space="preserve"> not </w:t>
      </w:r>
      <w:proofErr w:type="gramStart"/>
      <w:r>
        <w:rPr>
          <w:szCs w:val="24"/>
        </w:rPr>
        <w:t>mandate</w:t>
      </w:r>
      <w:proofErr w:type="gramEnd"/>
      <w:r>
        <w:rPr>
          <w:szCs w:val="24"/>
        </w:rPr>
        <w:t xml:space="preserve"> a temporal restriction for the signed agreement; (2)</w:t>
      </w:r>
      <w:r w:rsidR="00622751">
        <w:rPr>
          <w:szCs w:val="24"/>
        </w:rPr>
        <w:t xml:space="preserve"> </w:t>
      </w:r>
      <w:r>
        <w:rPr>
          <w:szCs w:val="24"/>
        </w:rPr>
        <w:t xml:space="preserve">a </w:t>
      </w:r>
      <w:r w:rsidR="00622751">
        <w:rPr>
          <w:szCs w:val="24"/>
        </w:rPr>
        <w:t>reading</w:t>
      </w:r>
      <w:r>
        <w:rPr>
          <w:szCs w:val="24"/>
        </w:rPr>
        <w:t xml:space="preserve"> of</w:t>
      </w:r>
      <w:r w:rsidR="00622751">
        <w:rPr>
          <w:szCs w:val="24"/>
        </w:rPr>
        <w:t xml:space="preserve"> the Act in its</w:t>
      </w:r>
      <w:r w:rsidR="000F514B" w:rsidRPr="00DA6748">
        <w:rPr>
          <w:szCs w:val="24"/>
        </w:rPr>
        <w:t xml:space="preserve"> entirety</w:t>
      </w:r>
      <w:r>
        <w:rPr>
          <w:szCs w:val="24"/>
        </w:rPr>
        <w:t xml:space="preserve"> shows that Congress added temporal restrictions in other sections but chose not to place such restrictions in </w:t>
      </w:r>
      <w:bookmarkStart w:id="5" w:name="CITRUS_BOOKMARK1000000098"/>
      <w:r>
        <w:rPr>
          <w:szCs w:val="24"/>
        </w:rPr>
        <w:t xml:space="preserve">§ </w:t>
      </w:r>
      <w:r w:rsidR="00C04D5C">
        <w:rPr>
          <w:szCs w:val="24"/>
        </w:rPr>
        <w:t>101(2)</w:t>
      </w:r>
      <w:bookmarkEnd w:id="5"/>
      <w:r>
        <w:rPr>
          <w:szCs w:val="24"/>
        </w:rPr>
        <w:t>; (3)</w:t>
      </w:r>
      <w:r w:rsidR="000F514B" w:rsidRPr="00DA6748">
        <w:rPr>
          <w:szCs w:val="24"/>
        </w:rPr>
        <w:t xml:space="preserve"> the legislative history</w:t>
      </w:r>
      <w:r w:rsidR="00622751">
        <w:rPr>
          <w:szCs w:val="24"/>
        </w:rPr>
        <w:t xml:space="preserve"> of the Act</w:t>
      </w:r>
      <w:r>
        <w:rPr>
          <w:szCs w:val="24"/>
        </w:rPr>
        <w:t xml:space="preserve"> demonstrates that Congress mindfully opted not to include a temporal restriction in </w:t>
      </w:r>
      <w:bookmarkStart w:id="6" w:name="CITRUS_BOOKMARK1000000099"/>
      <w:r>
        <w:rPr>
          <w:szCs w:val="24"/>
        </w:rPr>
        <w:t xml:space="preserve">§ </w:t>
      </w:r>
      <w:r w:rsidR="00C04D5C">
        <w:rPr>
          <w:szCs w:val="24"/>
        </w:rPr>
        <w:t>101(2)</w:t>
      </w:r>
      <w:bookmarkEnd w:id="6"/>
      <w:r>
        <w:rPr>
          <w:szCs w:val="24"/>
        </w:rPr>
        <w:t>;</w:t>
      </w:r>
      <w:r w:rsidR="000F514B" w:rsidRPr="00DA6748">
        <w:rPr>
          <w:szCs w:val="24"/>
        </w:rPr>
        <w:t xml:space="preserve"> and</w:t>
      </w:r>
      <w:r>
        <w:rPr>
          <w:szCs w:val="24"/>
        </w:rPr>
        <w:t xml:space="preserve"> (4)</w:t>
      </w:r>
      <w:r w:rsidR="00C04D5C">
        <w:rPr>
          <w:szCs w:val="24"/>
        </w:rPr>
        <w:t xml:space="preserve"> federal appellate court</w:t>
      </w:r>
      <w:r w:rsidR="000F514B" w:rsidRPr="00DA6748">
        <w:rPr>
          <w:szCs w:val="24"/>
        </w:rPr>
        <w:t xml:space="preserve"> opinions</w:t>
      </w:r>
      <w:r w:rsidR="003653F5" w:rsidRPr="00DA6748">
        <w:rPr>
          <w:szCs w:val="24"/>
        </w:rPr>
        <w:t xml:space="preserve"> indic</w:t>
      </w:r>
      <w:r w:rsidR="00622751">
        <w:rPr>
          <w:szCs w:val="24"/>
        </w:rPr>
        <w:t>ate that the Act</w:t>
      </w:r>
      <w:r w:rsidR="000F514B" w:rsidRPr="00DA6748">
        <w:rPr>
          <w:szCs w:val="24"/>
        </w:rPr>
        <w:t xml:space="preserve"> allows the parties to enter into a “work for hire” agreement </w:t>
      </w:r>
      <w:r>
        <w:rPr>
          <w:szCs w:val="24"/>
        </w:rPr>
        <w:t>using</w:t>
      </w:r>
      <w:r w:rsidR="00622751">
        <w:rPr>
          <w:szCs w:val="24"/>
        </w:rPr>
        <w:t xml:space="preserve"> </w:t>
      </w:r>
      <w:r>
        <w:rPr>
          <w:szCs w:val="24"/>
        </w:rPr>
        <w:t xml:space="preserve">a </w:t>
      </w:r>
      <w:r w:rsidR="00622751">
        <w:rPr>
          <w:szCs w:val="24"/>
        </w:rPr>
        <w:t xml:space="preserve">written instrument </w:t>
      </w:r>
      <w:r>
        <w:rPr>
          <w:szCs w:val="24"/>
        </w:rPr>
        <w:t xml:space="preserve">that </w:t>
      </w:r>
      <w:r w:rsidR="00622751">
        <w:rPr>
          <w:szCs w:val="24"/>
        </w:rPr>
        <w:t xml:space="preserve">follows the </w:t>
      </w:r>
      <w:r>
        <w:rPr>
          <w:szCs w:val="24"/>
        </w:rPr>
        <w:t xml:space="preserve">work’s </w:t>
      </w:r>
      <w:r w:rsidR="00622751">
        <w:rPr>
          <w:szCs w:val="24"/>
        </w:rPr>
        <w:t>creation</w:t>
      </w:r>
      <w:r>
        <w:rPr>
          <w:szCs w:val="24"/>
        </w:rPr>
        <w:t xml:space="preserve"> when an oral agreement occurred prior to </w:t>
      </w:r>
      <w:r w:rsidRPr="00DA6748">
        <w:rPr>
          <w:szCs w:val="24"/>
        </w:rPr>
        <w:t>the creation of th</w:t>
      </w:r>
      <w:r>
        <w:rPr>
          <w:szCs w:val="24"/>
        </w:rPr>
        <w:t>e contracted-for work</w:t>
      </w:r>
      <w:r w:rsidR="000F514B" w:rsidRPr="00DA6748">
        <w:rPr>
          <w:szCs w:val="24"/>
        </w:rPr>
        <w:t>.</w:t>
      </w:r>
      <w:r>
        <w:rPr>
          <w:szCs w:val="24"/>
        </w:rPr>
        <w:t xml:space="preserve"> </w:t>
      </w:r>
      <w:r w:rsidR="00596C72">
        <w:rPr>
          <w:szCs w:val="24"/>
        </w:rPr>
        <w:t xml:space="preserve">On these grounds, OGS requests that the court deny </w:t>
      </w:r>
      <w:r w:rsidR="00944D60">
        <w:rPr>
          <w:szCs w:val="24"/>
        </w:rPr>
        <w:t xml:space="preserve">the </w:t>
      </w:r>
      <w:r w:rsidR="00596C72">
        <w:rPr>
          <w:szCs w:val="24"/>
        </w:rPr>
        <w:lastRenderedPageBreak/>
        <w:t xml:space="preserve">Defendants’ Motion to </w:t>
      </w:r>
      <w:proofErr w:type="gramStart"/>
      <w:r w:rsidR="00596C72">
        <w:rPr>
          <w:szCs w:val="24"/>
        </w:rPr>
        <w:t>Dismiss</w:t>
      </w:r>
      <w:proofErr w:type="gramEnd"/>
      <w:r w:rsidR="00596C72">
        <w:rPr>
          <w:szCs w:val="24"/>
        </w:rPr>
        <w:t xml:space="preserve"> because Lime does not contest the prior oral agreement or subsequent written agreement </w:t>
      </w:r>
      <w:r w:rsidR="00C42B12">
        <w:rPr>
          <w:szCs w:val="24"/>
        </w:rPr>
        <w:t>specifying</w:t>
      </w:r>
      <w:r w:rsidR="00596C72">
        <w:rPr>
          <w:szCs w:val="24"/>
        </w:rPr>
        <w:t xml:space="preserve"> her screenplay </w:t>
      </w:r>
      <w:r w:rsidR="00C42B12">
        <w:rPr>
          <w:szCs w:val="24"/>
        </w:rPr>
        <w:t>as a “work for hire.”</w:t>
      </w:r>
    </w:p>
    <w:p w14:paraId="5F036328" w14:textId="77777777" w:rsidR="00642607" w:rsidRPr="00DA6748" w:rsidRDefault="00642607" w:rsidP="00370215">
      <w:pPr>
        <w:pStyle w:val="Heading2"/>
        <w:spacing w:before="0" w:line="480" w:lineRule="auto"/>
        <w:rPr>
          <w:rFonts w:cs="Times New Roman"/>
          <w:szCs w:val="24"/>
        </w:rPr>
      </w:pPr>
      <w:bookmarkStart w:id="7" w:name="CITRUS_HEADING147094555"/>
      <w:r w:rsidRPr="00DA6748">
        <w:rPr>
          <w:rFonts w:cs="Times New Roman"/>
          <w:szCs w:val="24"/>
        </w:rPr>
        <w:t>FACTUAL BACKGROUND</w:t>
      </w:r>
    </w:p>
    <w:bookmarkEnd w:id="7"/>
    <w:p w14:paraId="1FFFDB5C" w14:textId="77777777" w:rsidR="00C90E43" w:rsidRPr="00DA6748" w:rsidRDefault="00936FAE" w:rsidP="00370215">
      <w:pPr>
        <w:spacing w:line="480" w:lineRule="auto"/>
        <w:ind w:firstLine="720"/>
        <w:rPr>
          <w:szCs w:val="24"/>
        </w:rPr>
      </w:pPr>
      <w:r w:rsidRPr="00DA6748">
        <w:rPr>
          <w:szCs w:val="24"/>
        </w:rPr>
        <w:t>OGS</w:t>
      </w:r>
      <w:r w:rsidR="003653F5" w:rsidRPr="00DA6748">
        <w:rPr>
          <w:szCs w:val="24"/>
        </w:rPr>
        <w:t xml:space="preserve"> is a television network in Moot</w:t>
      </w:r>
      <w:r w:rsidR="007B0752" w:rsidRPr="00DA6748">
        <w:rPr>
          <w:szCs w:val="24"/>
        </w:rPr>
        <w:t xml:space="preserve">. </w:t>
      </w:r>
      <w:proofErr w:type="gramStart"/>
      <w:r w:rsidR="007B0752" w:rsidRPr="00DA6748">
        <w:rPr>
          <w:szCs w:val="24"/>
        </w:rPr>
        <w:t>(</w:t>
      </w:r>
      <w:proofErr w:type="spellStart"/>
      <w:r w:rsidR="007B0752" w:rsidRPr="00DA6748">
        <w:rPr>
          <w:szCs w:val="24"/>
        </w:rPr>
        <w:t>Compl</w:t>
      </w:r>
      <w:proofErr w:type="spellEnd"/>
      <w:r w:rsidR="007B0752" w:rsidRPr="00DA6748">
        <w:rPr>
          <w:szCs w:val="24"/>
        </w:rPr>
        <w:t>. ¶ 2)</w:t>
      </w:r>
      <w:r w:rsidR="003653F5" w:rsidRPr="00DA6748">
        <w:rPr>
          <w:szCs w:val="24"/>
        </w:rPr>
        <w:t>.</w:t>
      </w:r>
      <w:proofErr w:type="gramEnd"/>
      <w:r w:rsidR="007B0752" w:rsidRPr="00DA6748">
        <w:rPr>
          <w:szCs w:val="24"/>
        </w:rPr>
        <w:t xml:space="preserve"> OGS</w:t>
      </w:r>
      <w:r w:rsidRPr="00DA6748">
        <w:rPr>
          <w:szCs w:val="24"/>
        </w:rPr>
        <w:t xml:space="preserve"> created, produced, and aired an original television series entitled </w:t>
      </w:r>
      <w:r w:rsidRPr="00DA6748">
        <w:rPr>
          <w:i/>
          <w:szCs w:val="24"/>
        </w:rPr>
        <w:t>Lawless Love</w:t>
      </w:r>
      <w:r w:rsidR="00C46C56" w:rsidRPr="00DA6748">
        <w:rPr>
          <w:szCs w:val="24"/>
        </w:rPr>
        <w:t>.</w:t>
      </w:r>
      <w:r w:rsidR="0099533F" w:rsidRPr="00DA6748">
        <w:rPr>
          <w:szCs w:val="24"/>
        </w:rPr>
        <w:t xml:space="preserve"> </w:t>
      </w:r>
      <w:proofErr w:type="gramStart"/>
      <w:r w:rsidR="007B0752" w:rsidRPr="00DA6748">
        <w:rPr>
          <w:szCs w:val="24"/>
        </w:rPr>
        <w:t>(</w:t>
      </w:r>
      <w:bookmarkStart w:id="8" w:name="CITRUS_BOOKMARK1000000005"/>
      <w:r w:rsidR="00B347F2" w:rsidRPr="00525D49">
        <w:rPr>
          <w:i/>
          <w:szCs w:val="24"/>
        </w:rPr>
        <w:t>Id.</w:t>
      </w:r>
      <w:r w:rsidR="00C46C56" w:rsidRPr="00DA6748">
        <w:rPr>
          <w:szCs w:val="24"/>
        </w:rPr>
        <w:t xml:space="preserve"> ¶ 5</w:t>
      </w:r>
      <w:bookmarkEnd w:id="8"/>
      <w:r w:rsidR="007B0752" w:rsidRPr="00DA6748">
        <w:rPr>
          <w:szCs w:val="24"/>
        </w:rPr>
        <w:t>)</w:t>
      </w:r>
      <w:r w:rsidR="00C46C56" w:rsidRPr="00DA6748">
        <w:rPr>
          <w:szCs w:val="24"/>
        </w:rPr>
        <w:t>.</w:t>
      </w:r>
      <w:proofErr w:type="gramEnd"/>
      <w:r w:rsidRPr="00DA6748">
        <w:rPr>
          <w:szCs w:val="24"/>
        </w:rPr>
        <w:t xml:space="preserve"> </w:t>
      </w:r>
      <w:r w:rsidR="00C46C56" w:rsidRPr="00DA6748">
        <w:rPr>
          <w:szCs w:val="24"/>
        </w:rPr>
        <w:t>On March 27, 2010, OGS contacted Lime</w:t>
      </w:r>
      <w:r w:rsidR="00B347F2" w:rsidRPr="00DA6748">
        <w:rPr>
          <w:szCs w:val="24"/>
        </w:rPr>
        <w:t xml:space="preserve">, a writer with more than fifteen years of experience writing for television. </w:t>
      </w:r>
      <w:proofErr w:type="gramStart"/>
      <w:r w:rsidR="00B347F2" w:rsidRPr="00DA6748">
        <w:rPr>
          <w:szCs w:val="24"/>
        </w:rPr>
        <w:t>(</w:t>
      </w:r>
      <w:bookmarkStart w:id="9" w:name="CITRUS_BOOKMARK1000000006"/>
      <w:r w:rsidR="00B347F2" w:rsidRPr="00525D49">
        <w:rPr>
          <w:i/>
          <w:szCs w:val="24"/>
        </w:rPr>
        <w:t>Id.</w:t>
      </w:r>
      <w:r w:rsidR="00B347F2" w:rsidRPr="00DA6748">
        <w:rPr>
          <w:i/>
          <w:szCs w:val="24"/>
        </w:rPr>
        <w:t xml:space="preserve"> </w:t>
      </w:r>
      <w:r w:rsidR="00B347F2" w:rsidRPr="00DA6748">
        <w:rPr>
          <w:szCs w:val="24"/>
        </w:rPr>
        <w:t>¶¶ 9, 11</w:t>
      </w:r>
      <w:bookmarkEnd w:id="9"/>
      <w:r w:rsidR="00B347F2" w:rsidRPr="00DA6748">
        <w:rPr>
          <w:szCs w:val="24"/>
        </w:rPr>
        <w:t>).</w:t>
      </w:r>
      <w:proofErr w:type="gramEnd"/>
      <w:r w:rsidR="00B347F2" w:rsidRPr="00DA6748">
        <w:rPr>
          <w:szCs w:val="24"/>
        </w:rPr>
        <w:t xml:space="preserve"> </w:t>
      </w:r>
      <w:r w:rsidR="00C90E43" w:rsidRPr="00DA6748">
        <w:rPr>
          <w:szCs w:val="24"/>
        </w:rPr>
        <w:t xml:space="preserve">Dave Nelson, the executive producer of </w:t>
      </w:r>
      <w:r w:rsidR="00C90E43" w:rsidRPr="00DA6748">
        <w:rPr>
          <w:i/>
          <w:szCs w:val="24"/>
        </w:rPr>
        <w:t>Lawless Love</w:t>
      </w:r>
      <w:r w:rsidR="00C90E43" w:rsidRPr="00DA6748">
        <w:rPr>
          <w:szCs w:val="24"/>
        </w:rPr>
        <w:t xml:space="preserve">, met with </w:t>
      </w:r>
      <w:r w:rsidR="00B347F2" w:rsidRPr="00DA6748">
        <w:rPr>
          <w:szCs w:val="24"/>
        </w:rPr>
        <w:t>Lime at OGS’s offices</w:t>
      </w:r>
      <w:r w:rsidR="00C90E43" w:rsidRPr="00DA6748">
        <w:rPr>
          <w:szCs w:val="24"/>
        </w:rPr>
        <w:t xml:space="preserve"> </w:t>
      </w:r>
      <w:r w:rsidR="00C46C56" w:rsidRPr="00DA6748">
        <w:rPr>
          <w:szCs w:val="24"/>
        </w:rPr>
        <w:t xml:space="preserve">to specially commission a screenplay </w:t>
      </w:r>
      <w:r w:rsidR="00C90E43" w:rsidRPr="00DA6748">
        <w:rPr>
          <w:szCs w:val="24"/>
        </w:rPr>
        <w:t>from Lime</w:t>
      </w:r>
      <w:r w:rsidR="00C46C56" w:rsidRPr="00DA6748">
        <w:rPr>
          <w:szCs w:val="24"/>
        </w:rPr>
        <w:t xml:space="preserve"> for one episode of </w:t>
      </w:r>
      <w:r w:rsidR="00C46C56" w:rsidRPr="00DA6748">
        <w:rPr>
          <w:i/>
          <w:szCs w:val="24"/>
        </w:rPr>
        <w:t>Lawless Love</w:t>
      </w:r>
      <w:r w:rsidR="00742A68" w:rsidRPr="00DA6748">
        <w:rPr>
          <w:szCs w:val="24"/>
        </w:rPr>
        <w:t>.</w:t>
      </w:r>
      <w:r w:rsidR="00C46C56" w:rsidRPr="00DA6748">
        <w:rPr>
          <w:szCs w:val="24"/>
        </w:rPr>
        <w:t xml:space="preserve"> </w:t>
      </w:r>
      <w:proofErr w:type="gramStart"/>
      <w:r w:rsidR="007B0752" w:rsidRPr="00DA6748">
        <w:rPr>
          <w:szCs w:val="24"/>
        </w:rPr>
        <w:t>(</w:t>
      </w:r>
      <w:bookmarkStart w:id="10" w:name="CITRUS_BOOKMARK1000000007"/>
      <w:r w:rsidR="007B0752" w:rsidRPr="00525D49">
        <w:rPr>
          <w:i/>
          <w:szCs w:val="24"/>
        </w:rPr>
        <w:t>Id.</w:t>
      </w:r>
      <w:r w:rsidR="007B0752" w:rsidRPr="00DA6748">
        <w:rPr>
          <w:i/>
          <w:szCs w:val="24"/>
        </w:rPr>
        <w:t xml:space="preserve"> </w:t>
      </w:r>
      <w:r w:rsidR="00F11DFE" w:rsidRPr="00DA6748">
        <w:rPr>
          <w:szCs w:val="24"/>
        </w:rPr>
        <w:t>¶</w:t>
      </w:r>
      <w:r w:rsidR="00C46C56" w:rsidRPr="00DA6748">
        <w:rPr>
          <w:szCs w:val="24"/>
        </w:rPr>
        <w:t>¶ 9</w:t>
      </w:r>
      <w:r w:rsidR="00C90E43" w:rsidRPr="00DA6748">
        <w:rPr>
          <w:szCs w:val="24"/>
        </w:rPr>
        <w:t>, 12</w:t>
      </w:r>
      <w:bookmarkEnd w:id="10"/>
      <w:r w:rsidR="007B0752" w:rsidRPr="00DA6748">
        <w:rPr>
          <w:szCs w:val="24"/>
        </w:rPr>
        <w:t>)</w:t>
      </w:r>
      <w:r w:rsidR="00C46C56" w:rsidRPr="00DA6748">
        <w:rPr>
          <w:szCs w:val="24"/>
        </w:rPr>
        <w:t>.</w:t>
      </w:r>
      <w:proofErr w:type="gramEnd"/>
      <w:r w:rsidR="00C46C56" w:rsidRPr="00DA6748">
        <w:rPr>
          <w:szCs w:val="24"/>
        </w:rPr>
        <w:t xml:space="preserve"> This request was the first time that OGS </w:t>
      </w:r>
      <w:r w:rsidR="00742A68" w:rsidRPr="00DA6748">
        <w:rPr>
          <w:szCs w:val="24"/>
        </w:rPr>
        <w:t xml:space="preserve">asked a writer who was not an employee of OGS to prepare a screenplay for </w:t>
      </w:r>
      <w:r w:rsidR="00742A68" w:rsidRPr="00DA6748">
        <w:rPr>
          <w:i/>
          <w:szCs w:val="24"/>
        </w:rPr>
        <w:t>Lawless Love</w:t>
      </w:r>
      <w:r w:rsidR="00742A68" w:rsidRPr="00DA6748">
        <w:rPr>
          <w:szCs w:val="24"/>
        </w:rPr>
        <w:t xml:space="preserve">. </w:t>
      </w:r>
      <w:proofErr w:type="gramStart"/>
      <w:r w:rsidR="007B0752" w:rsidRPr="00DA6748">
        <w:rPr>
          <w:szCs w:val="24"/>
        </w:rPr>
        <w:t>(</w:t>
      </w:r>
      <w:bookmarkStart w:id="11" w:name="CITRUS_BOOKMARK1000000008"/>
      <w:r w:rsidR="00742A68" w:rsidRPr="00525D49">
        <w:rPr>
          <w:i/>
          <w:szCs w:val="24"/>
        </w:rPr>
        <w:t>Id</w:t>
      </w:r>
      <w:r w:rsidR="007B0752" w:rsidRPr="00525D49">
        <w:rPr>
          <w:i/>
          <w:szCs w:val="24"/>
        </w:rPr>
        <w:t>.</w:t>
      </w:r>
      <w:r w:rsidR="00B347F2" w:rsidRPr="00DA6748">
        <w:rPr>
          <w:szCs w:val="24"/>
        </w:rPr>
        <w:t xml:space="preserve"> ¶ 9</w:t>
      </w:r>
      <w:bookmarkEnd w:id="11"/>
      <w:r w:rsidR="007B0752" w:rsidRPr="00DA6748">
        <w:rPr>
          <w:szCs w:val="24"/>
        </w:rPr>
        <w:t>)</w:t>
      </w:r>
      <w:r w:rsidR="00742A68" w:rsidRPr="00DA6748">
        <w:rPr>
          <w:szCs w:val="24"/>
        </w:rPr>
        <w:t>.</w:t>
      </w:r>
      <w:proofErr w:type="gramEnd"/>
    </w:p>
    <w:p w14:paraId="358F2C7E" w14:textId="77777777" w:rsidR="00936FAE" w:rsidRPr="00DA6748" w:rsidRDefault="00C90E43" w:rsidP="00370215">
      <w:pPr>
        <w:spacing w:line="480" w:lineRule="auto"/>
        <w:ind w:firstLine="720"/>
        <w:rPr>
          <w:szCs w:val="24"/>
        </w:rPr>
      </w:pPr>
      <w:r w:rsidRPr="00DA6748">
        <w:rPr>
          <w:szCs w:val="24"/>
        </w:rPr>
        <w:t xml:space="preserve">During the March 27, 2010 meeting, Dave Nelson and Lime orally agreed that Lime would prepare a screenplay for </w:t>
      </w:r>
      <w:r w:rsidRPr="00DA6748">
        <w:rPr>
          <w:i/>
          <w:szCs w:val="24"/>
        </w:rPr>
        <w:t>Lawless Love</w:t>
      </w:r>
      <w:r w:rsidRPr="00DA6748">
        <w:rPr>
          <w:szCs w:val="24"/>
        </w:rPr>
        <w:t xml:space="preserve"> by April 1, 2010 for the p</w:t>
      </w:r>
      <w:r w:rsidR="007B0752" w:rsidRPr="00DA6748">
        <w:rPr>
          <w:szCs w:val="24"/>
        </w:rPr>
        <w:t xml:space="preserve">rice of $6,000. </w:t>
      </w:r>
      <w:proofErr w:type="gramStart"/>
      <w:r w:rsidR="007B0752" w:rsidRPr="00DA6748">
        <w:rPr>
          <w:szCs w:val="24"/>
        </w:rPr>
        <w:t>(</w:t>
      </w:r>
      <w:bookmarkStart w:id="12" w:name="CITRUS_BOOKMARK1000000009"/>
      <w:r w:rsidR="007B0752" w:rsidRPr="00525D49">
        <w:rPr>
          <w:i/>
          <w:szCs w:val="24"/>
        </w:rPr>
        <w:t>Id.</w:t>
      </w:r>
      <w:r w:rsidR="007B0752" w:rsidRPr="00DA6748">
        <w:rPr>
          <w:szCs w:val="24"/>
        </w:rPr>
        <w:t xml:space="preserve"> </w:t>
      </w:r>
      <w:r w:rsidRPr="00DA6748">
        <w:rPr>
          <w:szCs w:val="24"/>
        </w:rPr>
        <w:t>¶</w:t>
      </w:r>
      <w:r w:rsidR="007B0752" w:rsidRPr="00DA6748">
        <w:rPr>
          <w:szCs w:val="24"/>
        </w:rPr>
        <w:t>¶</w:t>
      </w:r>
      <w:r w:rsidRPr="00DA6748">
        <w:rPr>
          <w:szCs w:val="24"/>
        </w:rPr>
        <w:t xml:space="preserve"> 13, 15</w:t>
      </w:r>
      <w:bookmarkEnd w:id="12"/>
      <w:r w:rsidR="007B0752" w:rsidRPr="00DA6748">
        <w:rPr>
          <w:szCs w:val="24"/>
        </w:rPr>
        <w:t>)</w:t>
      </w:r>
      <w:r w:rsidRPr="00DA6748">
        <w:rPr>
          <w:szCs w:val="24"/>
        </w:rPr>
        <w:t>.</w:t>
      </w:r>
      <w:proofErr w:type="gramEnd"/>
      <w:r w:rsidRPr="00DA6748">
        <w:rPr>
          <w:szCs w:val="24"/>
        </w:rPr>
        <w:t xml:space="preserve"> Dave Nelson stated to Lime during this meeting that, “Your work on the screenplay is for hire. For all intents and </w:t>
      </w:r>
      <w:r w:rsidR="00B347F2" w:rsidRPr="00DA6748">
        <w:rPr>
          <w:szCs w:val="24"/>
        </w:rPr>
        <w:t xml:space="preserve">purposes, we’ll be the author”; </w:t>
      </w:r>
      <w:r w:rsidR="00B66322">
        <w:rPr>
          <w:szCs w:val="24"/>
        </w:rPr>
        <w:t xml:space="preserve">Dave Nelson asked </w:t>
      </w:r>
      <w:r w:rsidRPr="00DA6748">
        <w:rPr>
          <w:szCs w:val="24"/>
        </w:rPr>
        <w:t xml:space="preserve">Lime </w:t>
      </w:r>
      <w:r w:rsidR="000116AF" w:rsidRPr="00DA6748">
        <w:rPr>
          <w:szCs w:val="24"/>
        </w:rPr>
        <w:t xml:space="preserve">following his statement, “Do you understand, and is that OK with you?” </w:t>
      </w:r>
      <w:proofErr w:type="gramStart"/>
      <w:r w:rsidR="007B0752" w:rsidRPr="00DA6748">
        <w:rPr>
          <w:szCs w:val="24"/>
        </w:rPr>
        <w:t>(</w:t>
      </w:r>
      <w:bookmarkStart w:id="13" w:name="CITRUS_BOOKMARK1000000010"/>
      <w:r w:rsidR="000116AF" w:rsidRPr="00525D49">
        <w:rPr>
          <w:i/>
          <w:szCs w:val="24"/>
        </w:rPr>
        <w:t>Id.</w:t>
      </w:r>
      <w:r w:rsidR="007B0752" w:rsidRPr="00DA6748">
        <w:rPr>
          <w:i/>
          <w:szCs w:val="24"/>
        </w:rPr>
        <w:t xml:space="preserve"> </w:t>
      </w:r>
      <w:r w:rsidR="00B347F2" w:rsidRPr="00DA6748">
        <w:rPr>
          <w:szCs w:val="24"/>
        </w:rPr>
        <w:t>¶ 16</w:t>
      </w:r>
      <w:bookmarkEnd w:id="13"/>
      <w:r w:rsidR="007B0752" w:rsidRPr="00DA6748">
        <w:rPr>
          <w:szCs w:val="24"/>
        </w:rPr>
        <w:t>).</w:t>
      </w:r>
      <w:proofErr w:type="gramEnd"/>
      <w:r w:rsidR="00B66322">
        <w:rPr>
          <w:szCs w:val="24"/>
        </w:rPr>
        <w:t xml:space="preserve"> </w:t>
      </w:r>
      <w:r w:rsidR="00B347F2" w:rsidRPr="00DA6748">
        <w:rPr>
          <w:szCs w:val="24"/>
        </w:rPr>
        <w:t>Lime responded</w:t>
      </w:r>
      <w:r w:rsidR="000116AF" w:rsidRPr="00DA6748">
        <w:rPr>
          <w:szCs w:val="24"/>
        </w:rPr>
        <w:t xml:space="preserve">, “Yes.” </w:t>
      </w:r>
      <w:proofErr w:type="gramStart"/>
      <w:r w:rsidR="00B347F2" w:rsidRPr="00DA6748">
        <w:rPr>
          <w:szCs w:val="24"/>
        </w:rPr>
        <w:t>(</w:t>
      </w:r>
      <w:bookmarkStart w:id="14" w:name="CITRUS_BOOKMARK1000000011"/>
      <w:r w:rsidR="00593B55" w:rsidRPr="00525D49">
        <w:rPr>
          <w:i/>
          <w:szCs w:val="24"/>
        </w:rPr>
        <w:t>Id</w:t>
      </w:r>
      <w:r w:rsidR="00593B55" w:rsidRPr="00525D49">
        <w:rPr>
          <w:szCs w:val="24"/>
        </w:rPr>
        <w:t>.</w:t>
      </w:r>
      <w:r w:rsidR="0099533F" w:rsidRPr="00DA6748">
        <w:rPr>
          <w:szCs w:val="24"/>
        </w:rPr>
        <w:t xml:space="preserve"> </w:t>
      </w:r>
      <w:r w:rsidR="000116AF" w:rsidRPr="00DA6748">
        <w:rPr>
          <w:szCs w:val="24"/>
        </w:rPr>
        <w:t>¶ 17</w:t>
      </w:r>
      <w:bookmarkEnd w:id="14"/>
      <w:r w:rsidR="00B347F2" w:rsidRPr="00DA6748">
        <w:rPr>
          <w:szCs w:val="24"/>
        </w:rPr>
        <w:t>)</w:t>
      </w:r>
      <w:r w:rsidR="000116AF" w:rsidRPr="00DA6748">
        <w:rPr>
          <w:szCs w:val="24"/>
        </w:rPr>
        <w:t>.</w:t>
      </w:r>
      <w:proofErr w:type="gramEnd"/>
      <w:r w:rsidR="000116AF" w:rsidRPr="00DA6748">
        <w:rPr>
          <w:szCs w:val="24"/>
        </w:rPr>
        <w:t xml:space="preserve"> </w:t>
      </w:r>
      <w:r w:rsidR="00FE2212" w:rsidRPr="00DA6748">
        <w:rPr>
          <w:szCs w:val="24"/>
        </w:rPr>
        <w:t xml:space="preserve">Dave Nelson concluded the meeting by telling Lime that they would sign the paperwork later so that Lime could get to work as soon as possible. </w:t>
      </w:r>
      <w:proofErr w:type="gramStart"/>
      <w:r w:rsidR="00B347F2" w:rsidRPr="00DA6748">
        <w:rPr>
          <w:szCs w:val="24"/>
        </w:rPr>
        <w:t>(</w:t>
      </w:r>
      <w:bookmarkStart w:id="15" w:name="CITRUS_BOOKMARK1000000012"/>
      <w:r w:rsidR="00593B55" w:rsidRPr="00525D49">
        <w:rPr>
          <w:i/>
          <w:szCs w:val="24"/>
        </w:rPr>
        <w:t>Id</w:t>
      </w:r>
      <w:r w:rsidR="00593B55" w:rsidRPr="00525D49">
        <w:rPr>
          <w:szCs w:val="24"/>
        </w:rPr>
        <w:t>.</w:t>
      </w:r>
      <w:r w:rsidR="00593B55" w:rsidRPr="00DA6748">
        <w:rPr>
          <w:i/>
          <w:szCs w:val="24"/>
        </w:rPr>
        <w:t xml:space="preserve"> </w:t>
      </w:r>
      <w:r w:rsidR="00FE2212" w:rsidRPr="00DA6748">
        <w:rPr>
          <w:szCs w:val="24"/>
        </w:rPr>
        <w:t>¶ 20</w:t>
      </w:r>
      <w:bookmarkEnd w:id="15"/>
      <w:r w:rsidR="00B347F2" w:rsidRPr="00DA6748">
        <w:rPr>
          <w:szCs w:val="24"/>
        </w:rPr>
        <w:t>)</w:t>
      </w:r>
      <w:r w:rsidR="00FE2212" w:rsidRPr="00DA6748">
        <w:rPr>
          <w:szCs w:val="24"/>
        </w:rPr>
        <w:t>.</w:t>
      </w:r>
      <w:proofErr w:type="gramEnd"/>
      <w:r w:rsidR="00FE2212" w:rsidRPr="00DA6748">
        <w:rPr>
          <w:szCs w:val="24"/>
        </w:rPr>
        <w:t xml:space="preserve"> </w:t>
      </w:r>
    </w:p>
    <w:p w14:paraId="50AAAFF8" w14:textId="77777777" w:rsidR="00700074" w:rsidRPr="00DA6748" w:rsidRDefault="00C7298F" w:rsidP="00370215">
      <w:pPr>
        <w:spacing w:line="480" w:lineRule="auto"/>
        <w:ind w:firstLine="720"/>
        <w:rPr>
          <w:szCs w:val="24"/>
        </w:rPr>
      </w:pPr>
      <w:r w:rsidRPr="00DA6748">
        <w:rPr>
          <w:szCs w:val="24"/>
        </w:rPr>
        <w:t>Lime submitted</w:t>
      </w:r>
      <w:r w:rsidR="00617B29" w:rsidRPr="00DA6748">
        <w:rPr>
          <w:szCs w:val="24"/>
        </w:rPr>
        <w:t>, as agreed,</w:t>
      </w:r>
      <w:r w:rsidRPr="00DA6748">
        <w:rPr>
          <w:szCs w:val="24"/>
        </w:rPr>
        <w:t xml:space="preserve"> a screenplay entitled “Anticipatory Repudiation” to OGS on</w:t>
      </w:r>
      <w:r w:rsidR="009B47C1" w:rsidRPr="00DA6748">
        <w:rPr>
          <w:szCs w:val="24"/>
        </w:rPr>
        <w:t xml:space="preserve"> April 1, 2010. </w:t>
      </w:r>
      <w:proofErr w:type="gramStart"/>
      <w:r w:rsidR="00B347F2" w:rsidRPr="00DA6748">
        <w:rPr>
          <w:szCs w:val="24"/>
        </w:rPr>
        <w:t>(</w:t>
      </w:r>
      <w:bookmarkStart w:id="16" w:name="CITRUS_BOOKMARK1000000013"/>
      <w:r w:rsidR="00B347F2" w:rsidRPr="00525D49">
        <w:rPr>
          <w:i/>
          <w:szCs w:val="24"/>
        </w:rPr>
        <w:t>Id.</w:t>
      </w:r>
      <w:r w:rsidR="009B47C1" w:rsidRPr="00DA6748">
        <w:rPr>
          <w:szCs w:val="24"/>
        </w:rPr>
        <w:t xml:space="preserve"> </w:t>
      </w:r>
      <w:r w:rsidRPr="00DA6748">
        <w:rPr>
          <w:szCs w:val="24"/>
        </w:rPr>
        <w:t>¶</w:t>
      </w:r>
      <w:r w:rsidR="00B347F2" w:rsidRPr="00DA6748">
        <w:rPr>
          <w:szCs w:val="24"/>
        </w:rPr>
        <w:t xml:space="preserve"> </w:t>
      </w:r>
      <w:r w:rsidRPr="00DA6748">
        <w:rPr>
          <w:szCs w:val="24"/>
        </w:rPr>
        <w:t>21</w:t>
      </w:r>
      <w:bookmarkEnd w:id="16"/>
      <w:r w:rsidR="00B347F2" w:rsidRPr="00DA6748">
        <w:rPr>
          <w:szCs w:val="24"/>
        </w:rPr>
        <w:t>)</w:t>
      </w:r>
      <w:r w:rsidRPr="00DA6748">
        <w:rPr>
          <w:szCs w:val="24"/>
        </w:rPr>
        <w:t>.</w:t>
      </w:r>
      <w:proofErr w:type="gramEnd"/>
      <w:r w:rsidRPr="00DA6748">
        <w:rPr>
          <w:szCs w:val="24"/>
        </w:rPr>
        <w:t xml:space="preserve"> On April 2, 2010, OGS secured the exclusive rights and privileges in an</w:t>
      </w:r>
      <w:r w:rsidR="00553863" w:rsidRPr="00DA6748">
        <w:rPr>
          <w:szCs w:val="24"/>
        </w:rPr>
        <w:t xml:space="preserve">d to the television screenplay </w:t>
      </w:r>
      <w:r w:rsidRPr="00DA6748">
        <w:rPr>
          <w:szCs w:val="24"/>
        </w:rPr>
        <w:t xml:space="preserve">in compliance with the copyright laws of the United States and all other laws governing copyrights. </w:t>
      </w:r>
      <w:proofErr w:type="gramStart"/>
      <w:r w:rsidR="00B347F2" w:rsidRPr="00DA6748">
        <w:rPr>
          <w:szCs w:val="24"/>
        </w:rPr>
        <w:t>(</w:t>
      </w:r>
      <w:bookmarkStart w:id="17" w:name="CITRUS_BOOKMARK1000000014"/>
      <w:r w:rsidR="00617B29" w:rsidRPr="00525D49">
        <w:rPr>
          <w:i/>
          <w:szCs w:val="24"/>
        </w:rPr>
        <w:t>Id</w:t>
      </w:r>
      <w:r w:rsidR="00617B29" w:rsidRPr="00525D49">
        <w:rPr>
          <w:szCs w:val="24"/>
        </w:rPr>
        <w:t>.</w:t>
      </w:r>
      <w:r w:rsidRPr="00DA6748">
        <w:rPr>
          <w:szCs w:val="24"/>
        </w:rPr>
        <w:t xml:space="preserve"> ¶ 22</w:t>
      </w:r>
      <w:bookmarkEnd w:id="17"/>
      <w:r w:rsidR="00B347F2" w:rsidRPr="00DA6748">
        <w:rPr>
          <w:szCs w:val="24"/>
        </w:rPr>
        <w:t>)</w:t>
      </w:r>
      <w:r w:rsidRPr="00DA6748">
        <w:rPr>
          <w:szCs w:val="24"/>
        </w:rPr>
        <w:t>.</w:t>
      </w:r>
      <w:proofErr w:type="gramEnd"/>
    </w:p>
    <w:p w14:paraId="3F2DA0E6" w14:textId="77777777" w:rsidR="00593B55" w:rsidRPr="00DA6748" w:rsidRDefault="00B66322" w:rsidP="00370215">
      <w:pPr>
        <w:spacing w:line="480" w:lineRule="auto"/>
        <w:ind w:firstLine="720"/>
        <w:rPr>
          <w:szCs w:val="24"/>
        </w:rPr>
      </w:pPr>
      <w:r>
        <w:rPr>
          <w:szCs w:val="24"/>
        </w:rPr>
        <w:t xml:space="preserve">On April 6, 2010, </w:t>
      </w:r>
      <w:r w:rsidR="00617B29" w:rsidRPr="00DA6748">
        <w:rPr>
          <w:szCs w:val="24"/>
        </w:rPr>
        <w:t>Lime came to the office of OGS and picked up a $6,000 check as payment for writing “Anticipatory Repudiation” in accordance with her oral agreement wi</w:t>
      </w:r>
      <w:r w:rsidR="00553863" w:rsidRPr="00DA6748">
        <w:rPr>
          <w:szCs w:val="24"/>
        </w:rPr>
        <w:t xml:space="preserve">th </w:t>
      </w:r>
      <w:r w:rsidR="00553863" w:rsidRPr="00DA6748">
        <w:rPr>
          <w:szCs w:val="24"/>
        </w:rPr>
        <w:lastRenderedPageBreak/>
        <w:t>Dave Nelson</w:t>
      </w:r>
      <w:r w:rsidR="00617B29" w:rsidRPr="00DA6748">
        <w:rPr>
          <w:szCs w:val="24"/>
        </w:rPr>
        <w:t xml:space="preserve">. </w:t>
      </w:r>
      <w:proofErr w:type="gramStart"/>
      <w:r w:rsidR="00B347F2" w:rsidRPr="00DA6748">
        <w:rPr>
          <w:szCs w:val="24"/>
        </w:rPr>
        <w:t>(</w:t>
      </w:r>
      <w:bookmarkStart w:id="18" w:name="CITRUS_BOOKMARK1000000015"/>
      <w:r w:rsidR="00B347F2" w:rsidRPr="00525D49">
        <w:rPr>
          <w:i/>
          <w:szCs w:val="24"/>
        </w:rPr>
        <w:t>Id.</w:t>
      </w:r>
      <w:r w:rsidR="009B47C1" w:rsidRPr="00DA6748">
        <w:rPr>
          <w:szCs w:val="24"/>
        </w:rPr>
        <w:t xml:space="preserve"> </w:t>
      </w:r>
      <w:r w:rsidR="00617B29" w:rsidRPr="00DA6748">
        <w:rPr>
          <w:szCs w:val="24"/>
        </w:rPr>
        <w:t>¶ 24</w:t>
      </w:r>
      <w:bookmarkEnd w:id="18"/>
      <w:r w:rsidR="00B347F2" w:rsidRPr="00DA6748">
        <w:rPr>
          <w:szCs w:val="24"/>
        </w:rPr>
        <w:t>)</w:t>
      </w:r>
      <w:r w:rsidR="00617B29" w:rsidRPr="00DA6748">
        <w:rPr>
          <w:szCs w:val="24"/>
        </w:rPr>
        <w:t>.</w:t>
      </w:r>
      <w:proofErr w:type="gramEnd"/>
      <w:r w:rsidR="00617B29" w:rsidRPr="00DA6748">
        <w:rPr>
          <w:szCs w:val="24"/>
        </w:rPr>
        <w:t xml:space="preserve"> </w:t>
      </w:r>
      <w:r w:rsidR="00700074" w:rsidRPr="00DA6748">
        <w:rPr>
          <w:szCs w:val="24"/>
        </w:rPr>
        <w:t>During her April 6, 2010 visit</w:t>
      </w:r>
      <w:r>
        <w:rPr>
          <w:szCs w:val="24"/>
        </w:rPr>
        <w:t>,</w:t>
      </w:r>
      <w:r w:rsidR="00617B29" w:rsidRPr="00DA6748">
        <w:rPr>
          <w:szCs w:val="24"/>
        </w:rPr>
        <w:t xml:space="preserve"> Lime signed a document labeled “Work-Made-For-Hire Agreement”</w:t>
      </w:r>
      <w:r w:rsidR="00700074" w:rsidRPr="00DA6748">
        <w:rPr>
          <w:szCs w:val="24"/>
        </w:rPr>
        <w:t xml:space="preserve"> that stated in its entirety: “I understand and agree that I have prepared the screenplay, ‘Anticipatory Repudiation,’ as a work made for hire under the federal Copyright Act of 1976. Pursuant to this law, OGS TV is the author of this screenplay.” </w:t>
      </w:r>
      <w:proofErr w:type="gramStart"/>
      <w:r w:rsidR="00B347F2" w:rsidRPr="00DA6748">
        <w:rPr>
          <w:szCs w:val="24"/>
        </w:rPr>
        <w:t>(</w:t>
      </w:r>
      <w:bookmarkStart w:id="19" w:name="CITRUS_BOOKMARK1000000016"/>
      <w:r w:rsidR="00700074" w:rsidRPr="00525D49">
        <w:rPr>
          <w:i/>
          <w:szCs w:val="24"/>
        </w:rPr>
        <w:t>Id</w:t>
      </w:r>
      <w:r w:rsidR="00700074" w:rsidRPr="00525D49">
        <w:rPr>
          <w:szCs w:val="24"/>
        </w:rPr>
        <w:t>.</w:t>
      </w:r>
      <w:r w:rsidR="00700074" w:rsidRPr="00DA6748">
        <w:rPr>
          <w:szCs w:val="24"/>
        </w:rPr>
        <w:t xml:space="preserve"> </w:t>
      </w:r>
      <w:r w:rsidR="00B347F2" w:rsidRPr="00DA6748">
        <w:rPr>
          <w:szCs w:val="24"/>
        </w:rPr>
        <w:t>¶ 24</w:t>
      </w:r>
      <w:bookmarkEnd w:id="19"/>
      <w:r w:rsidR="00B347F2" w:rsidRPr="00DA6748">
        <w:rPr>
          <w:szCs w:val="24"/>
        </w:rPr>
        <w:t>).</w:t>
      </w:r>
      <w:proofErr w:type="gramEnd"/>
      <w:r w:rsidR="00B347F2" w:rsidRPr="00DA6748">
        <w:rPr>
          <w:szCs w:val="24"/>
        </w:rPr>
        <w:t xml:space="preserve"> At this time, </w:t>
      </w:r>
      <w:r w:rsidR="00700074" w:rsidRPr="00DA6748">
        <w:rPr>
          <w:szCs w:val="24"/>
        </w:rPr>
        <w:t>Dave Nelson also signed the “Work-Made-For-H</w:t>
      </w:r>
      <w:r w:rsidR="00B347F2" w:rsidRPr="00DA6748">
        <w:rPr>
          <w:szCs w:val="24"/>
        </w:rPr>
        <w:t xml:space="preserve">ire Agreement.” </w:t>
      </w:r>
      <w:proofErr w:type="gramStart"/>
      <w:r w:rsidR="00B347F2" w:rsidRPr="00DA6748">
        <w:rPr>
          <w:szCs w:val="24"/>
        </w:rPr>
        <w:t>(</w:t>
      </w:r>
      <w:bookmarkStart w:id="20" w:name="CITRUS_BOOKMARK1000000017"/>
      <w:r w:rsidR="00B347F2" w:rsidRPr="00525D49">
        <w:rPr>
          <w:i/>
          <w:szCs w:val="24"/>
        </w:rPr>
        <w:t>Id.</w:t>
      </w:r>
      <w:r w:rsidR="00B347F2" w:rsidRPr="00DA6748">
        <w:rPr>
          <w:i/>
          <w:szCs w:val="24"/>
        </w:rPr>
        <w:t xml:space="preserve"> </w:t>
      </w:r>
      <w:r w:rsidR="00B347F2" w:rsidRPr="00DA6748">
        <w:rPr>
          <w:szCs w:val="24"/>
        </w:rPr>
        <w:t>¶ 25</w:t>
      </w:r>
      <w:bookmarkEnd w:id="20"/>
      <w:r w:rsidR="00B347F2" w:rsidRPr="00DA6748">
        <w:rPr>
          <w:szCs w:val="24"/>
        </w:rPr>
        <w:t>).</w:t>
      </w:r>
      <w:proofErr w:type="gramEnd"/>
    </w:p>
    <w:p w14:paraId="54826F4B" w14:textId="77777777" w:rsidR="000643A9" w:rsidRPr="00DA6748" w:rsidRDefault="009E17FB" w:rsidP="00370215">
      <w:pPr>
        <w:tabs>
          <w:tab w:val="left" w:pos="720"/>
          <w:tab w:val="left" w:pos="1440"/>
          <w:tab w:val="left" w:pos="3330"/>
        </w:tabs>
        <w:spacing w:line="480" w:lineRule="auto"/>
        <w:ind w:firstLine="720"/>
        <w:rPr>
          <w:szCs w:val="24"/>
        </w:rPr>
      </w:pPr>
      <w:r w:rsidRPr="00DA6748">
        <w:rPr>
          <w:szCs w:val="24"/>
        </w:rPr>
        <w:t xml:space="preserve">On or about August 2, 2010, the Defendants, working in concert, created a new television series entitled </w:t>
      </w:r>
      <w:r w:rsidRPr="00DA6748">
        <w:rPr>
          <w:i/>
          <w:szCs w:val="24"/>
        </w:rPr>
        <w:t>The Tin Can</w:t>
      </w:r>
      <w:r w:rsidRPr="00DA6748">
        <w:rPr>
          <w:szCs w:val="24"/>
        </w:rPr>
        <w:t xml:space="preserve">. </w:t>
      </w:r>
      <w:r w:rsidR="00B347F2" w:rsidRPr="00DA6748">
        <w:rPr>
          <w:szCs w:val="24"/>
        </w:rPr>
        <w:t>(</w:t>
      </w:r>
      <w:bookmarkStart w:id="21" w:name="CITRUS_BOOKMARK1000000018"/>
      <w:r w:rsidRPr="00525D49">
        <w:rPr>
          <w:i/>
          <w:szCs w:val="24"/>
        </w:rPr>
        <w:t>Id</w:t>
      </w:r>
      <w:r w:rsidR="009B47C1" w:rsidRPr="00525D49">
        <w:rPr>
          <w:szCs w:val="24"/>
        </w:rPr>
        <w:t>.</w:t>
      </w:r>
      <w:r w:rsidRPr="00DA6748">
        <w:rPr>
          <w:szCs w:val="24"/>
        </w:rPr>
        <w:t xml:space="preserve"> ¶ 26</w:t>
      </w:r>
      <w:bookmarkEnd w:id="21"/>
      <w:r w:rsidR="00B347F2" w:rsidRPr="00DA6748">
        <w:rPr>
          <w:szCs w:val="24"/>
        </w:rPr>
        <w:t>)</w:t>
      </w:r>
      <w:r w:rsidRPr="00DA6748">
        <w:rPr>
          <w:szCs w:val="24"/>
        </w:rPr>
        <w:t>.</w:t>
      </w:r>
      <w:r w:rsidR="00B347F2" w:rsidRPr="00DA6748">
        <w:rPr>
          <w:szCs w:val="24"/>
        </w:rPr>
        <w:t xml:space="preserve"> Its </w:t>
      </w:r>
      <w:r w:rsidRPr="00DA6748">
        <w:rPr>
          <w:szCs w:val="24"/>
        </w:rPr>
        <w:t xml:space="preserve">pilot episode, “The Love Below,” copied in substantial part from OGS’s copyrighted screenplay, “Anticipatory Repudiation,” without the knowledge or consent of OGS. </w:t>
      </w:r>
      <w:r w:rsidR="00B347F2" w:rsidRPr="00DA6748">
        <w:rPr>
          <w:szCs w:val="24"/>
        </w:rPr>
        <w:t>(</w:t>
      </w:r>
      <w:bookmarkStart w:id="22" w:name="CITRUS_BOOKMARK1000000019"/>
      <w:r w:rsidR="00B347F2" w:rsidRPr="00525D49">
        <w:rPr>
          <w:i/>
          <w:szCs w:val="24"/>
        </w:rPr>
        <w:t>Id.</w:t>
      </w:r>
      <w:r w:rsidR="00B347F2" w:rsidRPr="00DA6748">
        <w:rPr>
          <w:szCs w:val="24"/>
        </w:rPr>
        <w:t xml:space="preserve"> ¶ 27-</w:t>
      </w:r>
      <w:r w:rsidRPr="00DA6748">
        <w:rPr>
          <w:szCs w:val="24"/>
        </w:rPr>
        <w:t>28</w:t>
      </w:r>
      <w:bookmarkEnd w:id="22"/>
      <w:r w:rsidR="00B347F2" w:rsidRPr="00DA6748">
        <w:rPr>
          <w:szCs w:val="24"/>
        </w:rPr>
        <w:t>)</w:t>
      </w:r>
      <w:r w:rsidRPr="00DA6748">
        <w:rPr>
          <w:szCs w:val="24"/>
        </w:rPr>
        <w:t xml:space="preserve">. Both screenplays contain identical dialogue, characters, and storylines. </w:t>
      </w:r>
      <w:proofErr w:type="gramStart"/>
      <w:r w:rsidR="00B347F2" w:rsidRPr="00DA6748">
        <w:rPr>
          <w:szCs w:val="24"/>
        </w:rPr>
        <w:t>(</w:t>
      </w:r>
      <w:bookmarkStart w:id="23" w:name="CITRUS_BOOKMARK1000000020"/>
      <w:r w:rsidRPr="00525D49">
        <w:rPr>
          <w:i/>
          <w:szCs w:val="24"/>
        </w:rPr>
        <w:t>Id</w:t>
      </w:r>
      <w:r w:rsidR="009B47C1" w:rsidRPr="00525D49">
        <w:rPr>
          <w:szCs w:val="24"/>
        </w:rPr>
        <w:t>.</w:t>
      </w:r>
      <w:r w:rsidRPr="00DA6748">
        <w:rPr>
          <w:szCs w:val="24"/>
        </w:rPr>
        <w:t xml:space="preserve"> ¶ 31</w:t>
      </w:r>
      <w:bookmarkEnd w:id="23"/>
      <w:r w:rsidR="00B347F2" w:rsidRPr="00DA6748">
        <w:rPr>
          <w:szCs w:val="24"/>
        </w:rPr>
        <w:t>)</w:t>
      </w:r>
      <w:r w:rsidRPr="00DA6748">
        <w:rPr>
          <w:szCs w:val="24"/>
        </w:rPr>
        <w:t>.</w:t>
      </w:r>
      <w:proofErr w:type="gramEnd"/>
      <w:r w:rsidR="000643A9" w:rsidRPr="00DA6748">
        <w:rPr>
          <w:szCs w:val="24"/>
        </w:rPr>
        <w:t xml:space="preserve"> On September 7, 2010, t</w:t>
      </w:r>
      <w:r w:rsidRPr="00DA6748">
        <w:rPr>
          <w:szCs w:val="24"/>
        </w:rPr>
        <w:t>he Defendants, without OGS’s</w:t>
      </w:r>
      <w:r w:rsidR="00B347F2" w:rsidRPr="00DA6748">
        <w:rPr>
          <w:szCs w:val="24"/>
        </w:rPr>
        <w:t xml:space="preserve"> consent, produced and aired</w:t>
      </w:r>
      <w:r w:rsidRPr="00DA6748">
        <w:rPr>
          <w:szCs w:val="24"/>
        </w:rPr>
        <w:t xml:space="preserve"> “The Love Below”</w:t>
      </w:r>
      <w:r w:rsidR="000643A9" w:rsidRPr="00DA6748">
        <w:rPr>
          <w:szCs w:val="24"/>
        </w:rPr>
        <w:t xml:space="preserve"> on television, broadcasting t</w:t>
      </w:r>
      <w:r w:rsidR="00B66322">
        <w:rPr>
          <w:szCs w:val="24"/>
        </w:rPr>
        <w:t xml:space="preserve">hroughout the United States on </w:t>
      </w:r>
      <w:proofErr w:type="spellStart"/>
      <w:r w:rsidR="000643A9" w:rsidRPr="00DA6748">
        <w:rPr>
          <w:szCs w:val="24"/>
        </w:rPr>
        <w:t>TinyTV’s</w:t>
      </w:r>
      <w:proofErr w:type="spellEnd"/>
      <w:r w:rsidR="000643A9" w:rsidRPr="00DA6748">
        <w:rPr>
          <w:szCs w:val="24"/>
        </w:rPr>
        <w:t xml:space="preserve"> cable television channel. </w:t>
      </w:r>
      <w:proofErr w:type="gramStart"/>
      <w:r w:rsidR="00B347F2" w:rsidRPr="00DA6748">
        <w:rPr>
          <w:szCs w:val="24"/>
        </w:rPr>
        <w:t>(</w:t>
      </w:r>
      <w:bookmarkStart w:id="24" w:name="CITRUS_BOOKMARK1000000021"/>
      <w:r w:rsidR="000643A9" w:rsidRPr="00525D49">
        <w:rPr>
          <w:i/>
          <w:szCs w:val="24"/>
        </w:rPr>
        <w:t>Id</w:t>
      </w:r>
      <w:r w:rsidR="009B47C1" w:rsidRPr="00525D49">
        <w:rPr>
          <w:szCs w:val="24"/>
        </w:rPr>
        <w:t>.</w:t>
      </w:r>
      <w:r w:rsidR="009B47C1" w:rsidRPr="00DA6748">
        <w:rPr>
          <w:szCs w:val="24"/>
        </w:rPr>
        <w:t xml:space="preserve"> </w:t>
      </w:r>
      <w:r w:rsidR="000643A9" w:rsidRPr="00DA6748">
        <w:rPr>
          <w:szCs w:val="24"/>
        </w:rPr>
        <w:t>¶ 29</w:t>
      </w:r>
      <w:bookmarkEnd w:id="24"/>
      <w:r w:rsidR="00B347F2" w:rsidRPr="00DA6748">
        <w:rPr>
          <w:szCs w:val="24"/>
        </w:rPr>
        <w:t>)</w:t>
      </w:r>
      <w:r w:rsidR="000643A9" w:rsidRPr="00DA6748">
        <w:rPr>
          <w:szCs w:val="24"/>
        </w:rPr>
        <w:t>.</w:t>
      </w:r>
      <w:proofErr w:type="gramEnd"/>
      <w:r w:rsidR="000643A9" w:rsidRPr="00DA6748">
        <w:rPr>
          <w:szCs w:val="24"/>
        </w:rPr>
        <w:t xml:space="preserve"> </w:t>
      </w:r>
      <w:r w:rsidR="00B347F2" w:rsidRPr="00DA6748">
        <w:rPr>
          <w:szCs w:val="24"/>
        </w:rPr>
        <w:t>This suit commences as a result of the for-profit broadcast by</w:t>
      </w:r>
      <w:r w:rsidR="000643A9" w:rsidRPr="00DA6748">
        <w:rPr>
          <w:szCs w:val="24"/>
        </w:rPr>
        <w:t xml:space="preserve"> the Defendants at the expense of OGS’s copyrights under the federal Copyright Act of 1976, </w:t>
      </w:r>
      <w:r w:rsidR="000643A9" w:rsidRPr="00525D49">
        <w:rPr>
          <w:szCs w:val="24"/>
        </w:rPr>
        <w:t>17 U.S.C. §</w:t>
      </w:r>
      <w:r w:rsidR="00B347F2" w:rsidRPr="00525D49">
        <w:rPr>
          <w:szCs w:val="24"/>
        </w:rPr>
        <w:t>§</w:t>
      </w:r>
      <w:r w:rsidR="000643A9" w:rsidRPr="00525D49">
        <w:rPr>
          <w:szCs w:val="24"/>
        </w:rPr>
        <w:t xml:space="preserve"> 101</w:t>
      </w:r>
      <w:r w:rsidR="00B347F2" w:rsidRPr="00DA6748">
        <w:rPr>
          <w:szCs w:val="24"/>
        </w:rPr>
        <w:t>,</w:t>
      </w:r>
      <w:r w:rsidR="000643A9" w:rsidRPr="00DA6748">
        <w:rPr>
          <w:szCs w:val="24"/>
        </w:rPr>
        <w:t xml:space="preserve"> </w:t>
      </w:r>
      <w:r w:rsidR="00B347F2" w:rsidRPr="00DA6748">
        <w:rPr>
          <w:i/>
          <w:szCs w:val="24"/>
        </w:rPr>
        <w:t>et seq.</w:t>
      </w:r>
      <w:r w:rsidR="000643A9" w:rsidRPr="00DA6748">
        <w:rPr>
          <w:szCs w:val="24"/>
        </w:rPr>
        <w:t xml:space="preserve"> </w:t>
      </w:r>
      <w:r w:rsidR="00B347F2" w:rsidRPr="00DA6748">
        <w:rPr>
          <w:szCs w:val="24"/>
        </w:rPr>
        <w:t>(</w:t>
      </w:r>
      <w:r w:rsidR="000643A9" w:rsidRPr="00525D49">
        <w:rPr>
          <w:i/>
          <w:szCs w:val="24"/>
        </w:rPr>
        <w:t>Id</w:t>
      </w:r>
      <w:r w:rsidR="009B47C1" w:rsidRPr="00525D49">
        <w:rPr>
          <w:szCs w:val="24"/>
        </w:rPr>
        <w:t>.</w:t>
      </w:r>
      <w:r w:rsidR="000643A9" w:rsidRPr="00DA6748">
        <w:rPr>
          <w:szCs w:val="24"/>
        </w:rPr>
        <w:t xml:space="preserve"> ¶ 31</w:t>
      </w:r>
      <w:r w:rsidR="00B347F2" w:rsidRPr="00DA6748">
        <w:rPr>
          <w:szCs w:val="24"/>
        </w:rPr>
        <w:t>)</w:t>
      </w:r>
      <w:r w:rsidR="000643A9" w:rsidRPr="00DA6748">
        <w:rPr>
          <w:szCs w:val="24"/>
        </w:rPr>
        <w:t>.</w:t>
      </w:r>
    </w:p>
    <w:p w14:paraId="2AF484FC" w14:textId="77777777" w:rsidR="00435370" w:rsidRPr="00DA6748" w:rsidRDefault="00B347F2" w:rsidP="00370215">
      <w:pPr>
        <w:tabs>
          <w:tab w:val="left" w:pos="720"/>
          <w:tab w:val="left" w:pos="1440"/>
          <w:tab w:val="left" w:pos="3330"/>
        </w:tabs>
        <w:spacing w:line="480" w:lineRule="auto"/>
        <w:jc w:val="center"/>
        <w:rPr>
          <w:szCs w:val="24"/>
        </w:rPr>
      </w:pPr>
      <w:r w:rsidRPr="00DA6748">
        <w:rPr>
          <w:b/>
          <w:szCs w:val="24"/>
          <w:u w:val="single"/>
        </w:rPr>
        <w:t>ARGUMENTS</w:t>
      </w:r>
    </w:p>
    <w:p w14:paraId="019E913D" w14:textId="77777777" w:rsidR="004B1FF4" w:rsidRDefault="00553863" w:rsidP="00370215">
      <w:pPr>
        <w:spacing w:line="480" w:lineRule="auto"/>
        <w:rPr>
          <w:szCs w:val="24"/>
        </w:rPr>
      </w:pPr>
      <w:r w:rsidRPr="00DA6748">
        <w:rPr>
          <w:szCs w:val="24"/>
        </w:rPr>
        <w:tab/>
      </w:r>
      <w:r w:rsidR="00DA1980">
        <w:rPr>
          <w:szCs w:val="24"/>
        </w:rPr>
        <w:t xml:space="preserve">No temporal restrictions exist </w:t>
      </w:r>
      <w:r w:rsidR="001721BE">
        <w:rPr>
          <w:szCs w:val="24"/>
        </w:rPr>
        <w:t xml:space="preserve">within the plain language of </w:t>
      </w:r>
      <w:bookmarkStart w:id="25" w:name="CITRUS_BOOKMARK1000000088"/>
      <w:r w:rsidR="001721BE" w:rsidRPr="00DA1980">
        <w:rPr>
          <w:szCs w:val="24"/>
        </w:rPr>
        <w:t>17 U.S.C. § 101(2)</w:t>
      </w:r>
      <w:bookmarkEnd w:id="25"/>
      <w:r w:rsidR="001721BE">
        <w:rPr>
          <w:szCs w:val="24"/>
        </w:rPr>
        <w:t xml:space="preserve"> </w:t>
      </w:r>
      <w:r w:rsidR="00DA1980">
        <w:rPr>
          <w:szCs w:val="24"/>
        </w:rPr>
        <w:t xml:space="preserve">for the written instrument of a “work for hire” agreement. </w:t>
      </w:r>
      <w:r w:rsidR="001466C8">
        <w:rPr>
          <w:szCs w:val="24"/>
        </w:rPr>
        <w:t>Congress’ s</w:t>
      </w:r>
      <w:r w:rsidR="004B1FF4" w:rsidRPr="00DA6748">
        <w:rPr>
          <w:szCs w:val="24"/>
        </w:rPr>
        <w:t xml:space="preserve">ilence in </w:t>
      </w:r>
      <w:bookmarkStart w:id="26" w:name="CITRUS_BOOKMARK1000000023"/>
      <w:r w:rsidR="004B1FF4" w:rsidRPr="00DA1980">
        <w:rPr>
          <w:szCs w:val="24"/>
        </w:rPr>
        <w:t>§ 101(2)</w:t>
      </w:r>
      <w:bookmarkEnd w:id="26"/>
      <w:r w:rsidR="001466C8">
        <w:rPr>
          <w:szCs w:val="24"/>
        </w:rPr>
        <w:t xml:space="preserve"> </w:t>
      </w:r>
      <w:r w:rsidR="001721BE">
        <w:rPr>
          <w:szCs w:val="24"/>
        </w:rPr>
        <w:t>regarding</w:t>
      </w:r>
      <w:r w:rsidR="001466C8">
        <w:rPr>
          <w:szCs w:val="24"/>
        </w:rPr>
        <w:t xml:space="preserve"> temporal restriction</w:t>
      </w:r>
      <w:r w:rsidR="001721BE">
        <w:rPr>
          <w:szCs w:val="24"/>
        </w:rPr>
        <w:t>s</w:t>
      </w:r>
      <w:r w:rsidR="001466C8">
        <w:rPr>
          <w:szCs w:val="24"/>
        </w:rPr>
        <w:t xml:space="preserve"> </w:t>
      </w:r>
      <w:r w:rsidR="004B1FF4" w:rsidRPr="00DA6748">
        <w:rPr>
          <w:szCs w:val="24"/>
        </w:rPr>
        <w:t>f</w:t>
      </w:r>
      <w:r w:rsidR="001466C8">
        <w:rPr>
          <w:szCs w:val="24"/>
        </w:rPr>
        <w:t>or</w:t>
      </w:r>
      <w:r w:rsidR="004B1FF4" w:rsidRPr="00DA6748">
        <w:rPr>
          <w:szCs w:val="24"/>
        </w:rPr>
        <w:t xml:space="preserve"> the written instrument, </w:t>
      </w:r>
      <w:r w:rsidR="00BB799B" w:rsidRPr="00DA6748">
        <w:rPr>
          <w:szCs w:val="24"/>
        </w:rPr>
        <w:t xml:space="preserve">a complete reading of the </w:t>
      </w:r>
      <w:r w:rsidR="001466C8">
        <w:rPr>
          <w:szCs w:val="24"/>
        </w:rPr>
        <w:t>Act</w:t>
      </w:r>
      <w:r w:rsidR="00BB799B" w:rsidRPr="00DA6748">
        <w:rPr>
          <w:szCs w:val="24"/>
        </w:rPr>
        <w:t xml:space="preserve">, </w:t>
      </w:r>
      <w:r w:rsidR="004B1FF4" w:rsidRPr="00DA6748">
        <w:rPr>
          <w:szCs w:val="24"/>
        </w:rPr>
        <w:t>the</w:t>
      </w:r>
      <w:r w:rsidR="001466C8">
        <w:rPr>
          <w:szCs w:val="24"/>
        </w:rPr>
        <w:t xml:space="preserve"> Act</w:t>
      </w:r>
      <w:r w:rsidR="00D73A36" w:rsidRPr="00DA6748">
        <w:rPr>
          <w:szCs w:val="24"/>
        </w:rPr>
        <w:t>’s</w:t>
      </w:r>
      <w:r w:rsidR="001466C8">
        <w:rPr>
          <w:szCs w:val="24"/>
        </w:rPr>
        <w:t xml:space="preserve"> legislative history, and </w:t>
      </w:r>
      <w:r w:rsidR="004B1FF4" w:rsidRPr="00DA6748">
        <w:rPr>
          <w:szCs w:val="24"/>
        </w:rPr>
        <w:t>subsequent</w:t>
      </w:r>
      <w:r w:rsidR="00DA1980">
        <w:rPr>
          <w:szCs w:val="24"/>
        </w:rPr>
        <w:t xml:space="preserve"> appellate court</w:t>
      </w:r>
      <w:r w:rsidR="004B1FF4" w:rsidRPr="00DA6748">
        <w:rPr>
          <w:szCs w:val="24"/>
        </w:rPr>
        <w:t xml:space="preserve"> decisions </w:t>
      </w:r>
      <w:r w:rsidR="001466C8">
        <w:rPr>
          <w:szCs w:val="24"/>
        </w:rPr>
        <w:t>show that</w:t>
      </w:r>
      <w:r w:rsidR="00DA1980">
        <w:rPr>
          <w:szCs w:val="24"/>
        </w:rPr>
        <w:t xml:space="preserve"> the combination of a prior oral agreement and a subsequent written instrument validly form</w:t>
      </w:r>
      <w:r w:rsidR="001466C8">
        <w:rPr>
          <w:szCs w:val="24"/>
        </w:rPr>
        <w:t xml:space="preserve"> a “work for hire” agreement</w:t>
      </w:r>
      <w:r w:rsidR="00215779" w:rsidRPr="00DA6748">
        <w:rPr>
          <w:szCs w:val="24"/>
        </w:rPr>
        <w:t>.</w:t>
      </w:r>
      <w:r w:rsidR="00D73A36" w:rsidRPr="00DA6748">
        <w:rPr>
          <w:szCs w:val="24"/>
        </w:rPr>
        <w:t xml:space="preserve"> </w:t>
      </w:r>
      <w:r w:rsidR="008933FA">
        <w:rPr>
          <w:szCs w:val="24"/>
        </w:rPr>
        <w:t>Furthermore, custom demonstrates the practice of oral agreements followed by signed agreements in an effort to promote faster production times and promotion of the parties’ interests.</w:t>
      </w:r>
      <w:r w:rsidR="00D73A36" w:rsidRPr="00DA6748">
        <w:rPr>
          <w:szCs w:val="24"/>
        </w:rPr>
        <w:t xml:space="preserve"> </w:t>
      </w:r>
      <w:r w:rsidR="001466C8">
        <w:rPr>
          <w:szCs w:val="24"/>
        </w:rPr>
        <w:t xml:space="preserve">OGS </w:t>
      </w:r>
      <w:r w:rsidR="008933FA">
        <w:rPr>
          <w:szCs w:val="24"/>
        </w:rPr>
        <w:t xml:space="preserve">thus </w:t>
      </w:r>
      <w:r w:rsidR="001466C8">
        <w:rPr>
          <w:szCs w:val="24"/>
        </w:rPr>
        <w:t>requests that the court deny the Defendants’ Motion to Dismiss.</w:t>
      </w:r>
    </w:p>
    <w:p w14:paraId="3B3694E5" w14:textId="77777777" w:rsidR="001466C8" w:rsidRPr="00DA6748" w:rsidRDefault="001466C8" w:rsidP="00370215">
      <w:pPr>
        <w:spacing w:line="480" w:lineRule="auto"/>
        <w:rPr>
          <w:snapToGrid/>
          <w:szCs w:val="24"/>
        </w:rPr>
      </w:pPr>
      <w:r>
        <w:rPr>
          <w:szCs w:val="24"/>
        </w:rPr>
        <w:lastRenderedPageBreak/>
        <w:tab/>
        <w:t>The text of the statute supports my position for two reasons: (1) the plain text of the Act does not include a temporal restriction</w:t>
      </w:r>
      <w:r w:rsidR="00BD57DA">
        <w:rPr>
          <w:szCs w:val="24"/>
        </w:rPr>
        <w:t xml:space="preserve"> in </w:t>
      </w:r>
      <w:bookmarkStart w:id="27" w:name="Psych_Cite_37"/>
      <w:bookmarkStart w:id="28" w:name="Ignore_This_37"/>
      <w:r w:rsidR="00BD57DA">
        <w:rPr>
          <w:szCs w:val="24"/>
        </w:rPr>
        <w:t xml:space="preserve">§ </w:t>
      </w:r>
      <w:r w:rsidR="00BC3077">
        <w:rPr>
          <w:szCs w:val="24"/>
        </w:rPr>
        <w:t>101(2)</w:t>
      </w:r>
      <w:bookmarkEnd w:id="27"/>
      <w:bookmarkEnd w:id="28"/>
      <w:r>
        <w:rPr>
          <w:szCs w:val="24"/>
        </w:rPr>
        <w:t xml:space="preserve">; and (2) other provisions of the statutory scheme indicate that Congress would have included a temporal restriction in </w:t>
      </w:r>
      <w:bookmarkStart w:id="29" w:name="Psych_Cite_38"/>
      <w:bookmarkStart w:id="30" w:name="Ignore_This_38"/>
      <w:r>
        <w:rPr>
          <w:szCs w:val="24"/>
        </w:rPr>
        <w:t>§ 101</w:t>
      </w:r>
      <w:r w:rsidR="00BC3077">
        <w:rPr>
          <w:szCs w:val="24"/>
        </w:rPr>
        <w:t>(2)</w:t>
      </w:r>
      <w:bookmarkEnd w:id="29"/>
      <w:bookmarkEnd w:id="30"/>
      <w:r>
        <w:rPr>
          <w:szCs w:val="24"/>
        </w:rPr>
        <w:t xml:space="preserve"> if Congress had intended to do so.</w:t>
      </w:r>
    </w:p>
    <w:p w14:paraId="37FAF6D3" w14:textId="77777777" w:rsidR="00BB799B" w:rsidRPr="0090088C" w:rsidRDefault="00D73A36" w:rsidP="00370215">
      <w:pPr>
        <w:pStyle w:val="ListParagraph"/>
        <w:numPr>
          <w:ilvl w:val="0"/>
          <w:numId w:val="14"/>
        </w:numPr>
        <w:spacing w:line="480" w:lineRule="auto"/>
        <w:rPr>
          <w:b/>
          <w:szCs w:val="24"/>
        </w:rPr>
      </w:pPr>
      <w:r w:rsidRPr="0090088C">
        <w:rPr>
          <w:b/>
          <w:szCs w:val="24"/>
        </w:rPr>
        <w:t xml:space="preserve">A </w:t>
      </w:r>
      <w:r w:rsidR="00F87288">
        <w:rPr>
          <w:b/>
          <w:szCs w:val="24"/>
        </w:rPr>
        <w:t xml:space="preserve">Plain Text Reading </w:t>
      </w:r>
      <w:r w:rsidR="00DD2791">
        <w:rPr>
          <w:b/>
          <w:szCs w:val="24"/>
        </w:rPr>
        <w:t xml:space="preserve">of the Act </w:t>
      </w:r>
      <w:r w:rsidR="00BB799B" w:rsidRPr="0090088C">
        <w:rPr>
          <w:b/>
          <w:szCs w:val="24"/>
        </w:rPr>
        <w:t xml:space="preserve">Supports That </w:t>
      </w:r>
      <w:r w:rsidR="00F87288">
        <w:rPr>
          <w:b/>
          <w:szCs w:val="24"/>
        </w:rPr>
        <w:t xml:space="preserve">a </w:t>
      </w:r>
      <w:r w:rsidR="00DD2791">
        <w:rPr>
          <w:b/>
          <w:szCs w:val="24"/>
        </w:rPr>
        <w:t xml:space="preserve">Valid </w:t>
      </w:r>
      <w:r w:rsidR="00F87288">
        <w:rPr>
          <w:b/>
          <w:szCs w:val="24"/>
        </w:rPr>
        <w:t xml:space="preserve">“Work for Hire” Agreement </w:t>
      </w:r>
      <w:r w:rsidR="00BB799B" w:rsidRPr="0090088C">
        <w:rPr>
          <w:b/>
          <w:szCs w:val="24"/>
        </w:rPr>
        <w:t>Occur</w:t>
      </w:r>
      <w:r w:rsidR="00F87288">
        <w:rPr>
          <w:b/>
          <w:szCs w:val="24"/>
        </w:rPr>
        <w:t>s Where an Oral Agreement Preceded Creation and a Written Instrument Followed Creation</w:t>
      </w:r>
    </w:p>
    <w:p w14:paraId="31DBD598" w14:textId="77777777" w:rsidR="00FA5FAF" w:rsidRPr="00FA5FAF" w:rsidRDefault="00D73A36" w:rsidP="00FA5FAF">
      <w:pPr>
        <w:spacing w:line="480" w:lineRule="auto"/>
        <w:ind w:firstLine="720"/>
        <w:rPr>
          <w:szCs w:val="24"/>
        </w:rPr>
      </w:pPr>
      <w:r w:rsidRPr="00DA6748">
        <w:rPr>
          <w:szCs w:val="24"/>
        </w:rPr>
        <w:t>T</w:t>
      </w:r>
      <w:r w:rsidR="00215779" w:rsidRPr="00DA6748">
        <w:rPr>
          <w:szCs w:val="24"/>
        </w:rPr>
        <w:t xml:space="preserve">he court will first examine the language of the statute because the “starting point for . . . interpretation of a statute is always its language.” </w:t>
      </w:r>
      <w:bookmarkStart w:id="31" w:name="CITRUS_BOOKMARK25"/>
      <w:proofErr w:type="spellStart"/>
      <w:r w:rsidR="00215779" w:rsidRPr="000D602A">
        <w:rPr>
          <w:i/>
          <w:snapToGrid/>
          <w:szCs w:val="24"/>
        </w:rPr>
        <w:t>Cmty</w:t>
      </w:r>
      <w:proofErr w:type="spellEnd"/>
      <w:r w:rsidR="00215779" w:rsidRPr="000D602A">
        <w:rPr>
          <w:i/>
          <w:snapToGrid/>
          <w:szCs w:val="24"/>
        </w:rPr>
        <w:t xml:space="preserve">. </w:t>
      </w:r>
      <w:proofErr w:type="gramStart"/>
      <w:r w:rsidR="00215779" w:rsidRPr="000D602A">
        <w:rPr>
          <w:i/>
          <w:snapToGrid/>
          <w:szCs w:val="24"/>
        </w:rPr>
        <w:t>for</w:t>
      </w:r>
      <w:proofErr w:type="gramEnd"/>
      <w:r w:rsidR="00215779" w:rsidRPr="000D602A">
        <w:rPr>
          <w:i/>
          <w:snapToGrid/>
          <w:szCs w:val="24"/>
        </w:rPr>
        <w:t xml:space="preserve"> Creative Non-Violence v. Reid</w:t>
      </w:r>
      <w:r w:rsidR="00215779" w:rsidRPr="00081E01">
        <w:rPr>
          <w:snapToGrid/>
          <w:szCs w:val="24"/>
        </w:rPr>
        <w:t>, 490 U.S. 730, 739 (1989)</w:t>
      </w:r>
      <w:r w:rsidR="00013462" w:rsidRPr="00081E01">
        <w:rPr>
          <w:snapToGrid/>
          <w:szCs w:val="24"/>
        </w:rPr>
        <w:t xml:space="preserve"> (CCNV)</w:t>
      </w:r>
      <w:bookmarkEnd w:id="31"/>
      <w:r w:rsidR="00215779" w:rsidRPr="00DA6748">
        <w:rPr>
          <w:snapToGrid/>
          <w:szCs w:val="24"/>
        </w:rPr>
        <w:t>.</w:t>
      </w:r>
      <w:r w:rsidR="00601D2B">
        <w:rPr>
          <w:snapToGrid/>
          <w:szCs w:val="24"/>
        </w:rPr>
        <w:t xml:space="preserve"> </w:t>
      </w:r>
      <w:r w:rsidR="00682A7D">
        <w:rPr>
          <w:snapToGrid/>
          <w:szCs w:val="24"/>
        </w:rPr>
        <w:t>The court seeks to determine “</w:t>
      </w:r>
      <w:r w:rsidR="00682A7D" w:rsidRPr="00682A7D">
        <w:rPr>
          <w:snapToGrid/>
          <w:szCs w:val="24"/>
        </w:rPr>
        <w:t>whether the language at issue has a plain and unambiguous meaning with regard to the particular dispute in the case</w:t>
      </w:r>
      <w:r w:rsidR="00682A7D">
        <w:rPr>
          <w:snapToGrid/>
          <w:szCs w:val="24"/>
        </w:rPr>
        <w:t xml:space="preserve">.” </w:t>
      </w:r>
      <w:bookmarkStart w:id="32" w:name="CITRUS_BOOKMARK26"/>
      <w:proofErr w:type="gramStart"/>
      <w:r w:rsidR="00682A7D" w:rsidRPr="000D602A">
        <w:rPr>
          <w:i/>
          <w:snapToGrid/>
          <w:szCs w:val="24"/>
        </w:rPr>
        <w:t>Robinson v. Shell Oil Co.</w:t>
      </w:r>
      <w:r w:rsidR="00682A7D" w:rsidRPr="00081E01">
        <w:rPr>
          <w:snapToGrid/>
          <w:szCs w:val="24"/>
        </w:rPr>
        <w:t>, 519 U.S. 337, 340 (1997)</w:t>
      </w:r>
      <w:bookmarkEnd w:id="32"/>
      <w:r w:rsidR="00682A7D">
        <w:rPr>
          <w:snapToGrid/>
          <w:szCs w:val="24"/>
        </w:rPr>
        <w:t>.</w:t>
      </w:r>
      <w:proofErr w:type="gramEnd"/>
      <w:r w:rsidR="00682A7D">
        <w:rPr>
          <w:snapToGrid/>
          <w:szCs w:val="24"/>
        </w:rPr>
        <w:t xml:space="preserve"> If the statutory language </w:t>
      </w:r>
      <w:r w:rsidR="006D06F6">
        <w:rPr>
          <w:snapToGrid/>
          <w:szCs w:val="24"/>
        </w:rPr>
        <w:t xml:space="preserve">is “unambiguous” and “the statutory scheme is coherent and consistent” then the court’s “inquiry must cease.” </w:t>
      </w:r>
      <w:bookmarkStart w:id="33" w:name="CITRUS_BOOKMARK27"/>
      <w:r w:rsidR="006D06F6" w:rsidRPr="000D602A">
        <w:rPr>
          <w:i/>
          <w:snapToGrid/>
          <w:szCs w:val="24"/>
        </w:rPr>
        <w:t>Id.</w:t>
      </w:r>
      <w:bookmarkEnd w:id="33"/>
      <w:r w:rsidR="006D06F6">
        <w:rPr>
          <w:snapToGrid/>
          <w:szCs w:val="24"/>
        </w:rPr>
        <w:t xml:space="preserve"> </w:t>
      </w:r>
      <w:r w:rsidR="00601D2B">
        <w:rPr>
          <w:szCs w:val="24"/>
        </w:rPr>
        <w:t>Furthermore, “[s]</w:t>
      </w:r>
      <w:proofErr w:type="spellStart"/>
      <w:r w:rsidR="00601D2B">
        <w:rPr>
          <w:szCs w:val="24"/>
        </w:rPr>
        <w:t>trict</w:t>
      </w:r>
      <w:proofErr w:type="spellEnd"/>
      <w:r w:rsidR="00601D2B">
        <w:rPr>
          <w:szCs w:val="24"/>
        </w:rPr>
        <w:t xml:space="preserve"> adherence to the language and structure of the Act is part</w:t>
      </w:r>
      <w:r w:rsidR="008566A2">
        <w:rPr>
          <w:szCs w:val="24"/>
        </w:rPr>
        <w:t>icularly appropriate where</w:t>
      </w:r>
      <w:r w:rsidR="00FA5FAF">
        <w:rPr>
          <w:szCs w:val="24"/>
        </w:rPr>
        <w:t>, as here [the Act],</w:t>
      </w:r>
      <w:r w:rsidR="00601D2B">
        <w:rPr>
          <w:szCs w:val="24"/>
        </w:rPr>
        <w:t xml:space="preserve"> a statute is the result of a series of carefully</w:t>
      </w:r>
      <w:r w:rsidR="00453479">
        <w:rPr>
          <w:szCs w:val="24"/>
        </w:rPr>
        <w:t xml:space="preserve"> crafte</w:t>
      </w:r>
      <w:r w:rsidR="00601D2B">
        <w:rPr>
          <w:szCs w:val="24"/>
        </w:rPr>
        <w:t>d</w:t>
      </w:r>
      <w:r w:rsidR="00465D8A">
        <w:rPr>
          <w:szCs w:val="24"/>
        </w:rPr>
        <w:t xml:space="preserve"> </w:t>
      </w:r>
      <w:r w:rsidR="00FA5FAF">
        <w:rPr>
          <w:szCs w:val="24"/>
        </w:rPr>
        <w:t>compromises.</w:t>
      </w:r>
      <w:r w:rsidR="00601D2B">
        <w:rPr>
          <w:szCs w:val="24"/>
        </w:rPr>
        <w:t xml:space="preserve">” </w:t>
      </w:r>
      <w:bookmarkStart w:id="34" w:name="CITRUS_BOOKMARK1000000028"/>
      <w:proofErr w:type="gramStart"/>
      <w:r w:rsidR="006D06F6" w:rsidRPr="00525D49">
        <w:rPr>
          <w:snapToGrid/>
          <w:szCs w:val="24"/>
        </w:rPr>
        <w:t>490 U.S.</w:t>
      </w:r>
      <w:r w:rsidR="00601D2B" w:rsidRPr="00525D49">
        <w:rPr>
          <w:szCs w:val="24"/>
        </w:rPr>
        <w:t xml:space="preserve"> at 748</w:t>
      </w:r>
      <w:r w:rsidR="00601D2B">
        <w:rPr>
          <w:szCs w:val="24"/>
        </w:rPr>
        <w:t>, n.14 (citations omitted)</w:t>
      </w:r>
      <w:bookmarkEnd w:id="34"/>
      <w:r w:rsidR="00601D2B">
        <w:rPr>
          <w:szCs w:val="24"/>
        </w:rPr>
        <w:t>.</w:t>
      </w:r>
      <w:proofErr w:type="gramEnd"/>
      <w:r w:rsidR="00FA5FAF">
        <w:rPr>
          <w:szCs w:val="24"/>
        </w:rPr>
        <w:t xml:space="preserve"> An examination of the language within </w:t>
      </w:r>
      <w:bookmarkStart w:id="35" w:name="Psych_Cite_43"/>
      <w:bookmarkStart w:id="36" w:name="Ignore_This_43"/>
      <w:r w:rsidR="00FA5FAF">
        <w:rPr>
          <w:szCs w:val="24"/>
        </w:rPr>
        <w:t>§ 101(2)</w:t>
      </w:r>
      <w:bookmarkEnd w:id="35"/>
      <w:bookmarkEnd w:id="36"/>
      <w:r w:rsidR="00FA5FAF">
        <w:rPr>
          <w:szCs w:val="24"/>
        </w:rPr>
        <w:t xml:space="preserve"> shows that there is no temporal restriction on the written instrument for a “work for hire” agreement.</w:t>
      </w:r>
    </w:p>
    <w:p w14:paraId="599DF2FF" w14:textId="77777777" w:rsidR="000A525B" w:rsidRPr="000A525B" w:rsidRDefault="000A525B" w:rsidP="000A525B">
      <w:pPr>
        <w:pStyle w:val="ListParagraph"/>
        <w:numPr>
          <w:ilvl w:val="0"/>
          <w:numId w:val="18"/>
        </w:numPr>
        <w:spacing w:line="480" w:lineRule="auto"/>
        <w:rPr>
          <w:b/>
          <w:szCs w:val="24"/>
        </w:rPr>
      </w:pPr>
      <w:r w:rsidRPr="000A525B">
        <w:rPr>
          <w:b/>
          <w:szCs w:val="24"/>
        </w:rPr>
        <w:t>A Plain Text Reading of the Act</w:t>
      </w:r>
      <w:r>
        <w:rPr>
          <w:b/>
          <w:szCs w:val="24"/>
        </w:rPr>
        <w:t xml:space="preserve"> Shows</w:t>
      </w:r>
      <w:r w:rsidRPr="000A525B">
        <w:rPr>
          <w:b/>
          <w:szCs w:val="24"/>
        </w:rPr>
        <w:t xml:space="preserve"> That No Temporal Restrictions Exist Within </w:t>
      </w:r>
      <w:bookmarkStart w:id="37" w:name="Psych_Cite_48"/>
      <w:bookmarkStart w:id="38" w:name="Ignore_This_48"/>
      <w:r w:rsidRPr="000A525B">
        <w:rPr>
          <w:b/>
          <w:szCs w:val="24"/>
        </w:rPr>
        <w:t xml:space="preserve">§ </w:t>
      </w:r>
      <w:r w:rsidR="00BC3077">
        <w:rPr>
          <w:b/>
          <w:szCs w:val="24"/>
        </w:rPr>
        <w:t>101(2)</w:t>
      </w:r>
      <w:bookmarkEnd w:id="37"/>
      <w:bookmarkEnd w:id="38"/>
      <w:r w:rsidR="00BC3077">
        <w:rPr>
          <w:b/>
          <w:szCs w:val="24"/>
        </w:rPr>
        <w:t xml:space="preserve"> for the Written Instrument of a “Work for Hire” Agreement</w:t>
      </w:r>
    </w:p>
    <w:p w14:paraId="1B80051E" w14:textId="77777777" w:rsidR="00B347F2" w:rsidRDefault="00215779" w:rsidP="00370215">
      <w:pPr>
        <w:spacing w:line="480" w:lineRule="auto"/>
        <w:rPr>
          <w:szCs w:val="24"/>
        </w:rPr>
      </w:pPr>
      <w:r w:rsidRPr="00DA6748">
        <w:rPr>
          <w:szCs w:val="24"/>
        </w:rPr>
        <w:tab/>
      </w:r>
      <w:r w:rsidR="00BC3077">
        <w:rPr>
          <w:szCs w:val="24"/>
        </w:rPr>
        <w:t>Section 101(2) of the Act provides</w:t>
      </w:r>
      <w:r w:rsidR="009579D3">
        <w:rPr>
          <w:szCs w:val="24"/>
        </w:rPr>
        <w:t xml:space="preserve"> </w:t>
      </w:r>
      <w:r w:rsidR="009579D3" w:rsidRPr="00DA6748">
        <w:rPr>
          <w:szCs w:val="24"/>
        </w:rPr>
        <w:t xml:space="preserve">that a "work made for hire" is “a work specially ordered or commissioned for use as a contribution to a collective work, as a part of a motion picture or other audiovisual work . . . if the parties expressly agree in a written instrument signed </w:t>
      </w:r>
      <w:r w:rsidR="009579D3" w:rsidRPr="00DA6748">
        <w:rPr>
          <w:szCs w:val="24"/>
        </w:rPr>
        <w:lastRenderedPageBreak/>
        <w:t>by them that the work shall be considered a work made for hire.”</w:t>
      </w:r>
      <w:r w:rsidR="00BC3077">
        <w:rPr>
          <w:szCs w:val="24"/>
        </w:rPr>
        <w:t xml:space="preserve"> </w:t>
      </w:r>
      <w:bookmarkStart w:id="39" w:name="CITRUS_BOOKMARK100"/>
      <w:proofErr w:type="gramStart"/>
      <w:r w:rsidR="00C07950">
        <w:t>17 U.S.C.</w:t>
      </w:r>
      <w:r w:rsidR="00C42B12">
        <w:t xml:space="preserve"> § 101 (1976)</w:t>
      </w:r>
      <w:bookmarkEnd w:id="39"/>
      <w:r w:rsidR="00BC3077">
        <w:t>.</w:t>
      </w:r>
      <w:proofErr w:type="gramEnd"/>
      <w:r w:rsidR="009579D3" w:rsidRPr="00DA6748">
        <w:rPr>
          <w:szCs w:val="24"/>
        </w:rPr>
        <w:t xml:space="preserve"> </w:t>
      </w:r>
      <w:r w:rsidR="00596C72">
        <w:rPr>
          <w:szCs w:val="24"/>
        </w:rPr>
        <w:t>This language indicates</w:t>
      </w:r>
      <w:r w:rsidR="005B1E6C">
        <w:rPr>
          <w:szCs w:val="24"/>
        </w:rPr>
        <w:t xml:space="preserve"> that Congress</w:t>
      </w:r>
      <w:r w:rsidR="006F76FA" w:rsidRPr="00DA6748">
        <w:rPr>
          <w:szCs w:val="24"/>
        </w:rPr>
        <w:t xml:space="preserve"> chose not to insert </w:t>
      </w:r>
      <w:r w:rsidR="005B1E6C" w:rsidRPr="00DA6748">
        <w:rPr>
          <w:szCs w:val="24"/>
        </w:rPr>
        <w:t>a temporal requirement for the written instrument</w:t>
      </w:r>
      <w:r w:rsidR="0090088C">
        <w:rPr>
          <w:szCs w:val="24"/>
        </w:rPr>
        <w:t xml:space="preserve">. </w:t>
      </w:r>
      <w:r w:rsidR="005B1E6C">
        <w:rPr>
          <w:szCs w:val="24"/>
        </w:rPr>
        <w:t xml:space="preserve">Nowhere in 101(2) does Congress add any iteration of either the word “before” or “after” to connect the written instrument and the commissioned work. </w:t>
      </w:r>
      <w:r w:rsidR="009579D3">
        <w:rPr>
          <w:szCs w:val="24"/>
        </w:rPr>
        <w:t xml:space="preserve">Often, “Congress’ silence is just that—silence.” </w:t>
      </w:r>
      <w:bookmarkStart w:id="40" w:name="CITRUS_BOOKMARK30"/>
      <w:r w:rsidR="00470D91" w:rsidRPr="000D602A">
        <w:rPr>
          <w:i/>
          <w:szCs w:val="24"/>
        </w:rPr>
        <w:t>Alaska Airlines, Inc. v. Brock</w:t>
      </w:r>
      <w:r w:rsidR="00470D91" w:rsidRPr="00081E01">
        <w:rPr>
          <w:szCs w:val="24"/>
        </w:rPr>
        <w:t xml:space="preserve">, </w:t>
      </w:r>
      <w:r w:rsidR="009579D3" w:rsidRPr="00081E01">
        <w:rPr>
          <w:szCs w:val="24"/>
        </w:rPr>
        <w:t>480 U.S. 678, 686 (1987)</w:t>
      </w:r>
      <w:bookmarkEnd w:id="40"/>
      <w:r w:rsidR="00596C72">
        <w:rPr>
          <w:szCs w:val="24"/>
        </w:rPr>
        <w:t>. This silence shows that Congress grants</w:t>
      </w:r>
      <w:r w:rsidR="009579D3">
        <w:rPr>
          <w:szCs w:val="24"/>
        </w:rPr>
        <w:t xml:space="preserve"> the parties the freedom to contract. This interpretation allows a written instrument expressly marked as a “work for hire” agreement to follow the creation of a work where both parties orally agreed prior to the creation that the work was on a “work for hire” basis. </w:t>
      </w:r>
    </w:p>
    <w:p w14:paraId="195119A1" w14:textId="77777777" w:rsidR="008933FA" w:rsidRDefault="008933FA" w:rsidP="00370215">
      <w:pPr>
        <w:spacing w:line="480" w:lineRule="auto"/>
        <w:rPr>
          <w:szCs w:val="24"/>
        </w:rPr>
      </w:pPr>
      <w:r>
        <w:rPr>
          <w:szCs w:val="24"/>
        </w:rPr>
        <w:tab/>
      </w:r>
      <w:r w:rsidR="005E0E9E">
        <w:rPr>
          <w:szCs w:val="24"/>
        </w:rPr>
        <w:t>Although</w:t>
      </w:r>
      <w:r>
        <w:rPr>
          <w:szCs w:val="24"/>
        </w:rPr>
        <w:t xml:space="preserve"> Lime and </w:t>
      </w:r>
      <w:proofErr w:type="spellStart"/>
      <w:r>
        <w:rPr>
          <w:szCs w:val="24"/>
        </w:rPr>
        <w:t>TinyTV</w:t>
      </w:r>
      <w:proofErr w:type="spellEnd"/>
      <w:r>
        <w:rPr>
          <w:szCs w:val="24"/>
        </w:rPr>
        <w:t xml:space="preserve"> argue that the terms “ordered or commissioned” </w:t>
      </w:r>
      <w:r w:rsidR="005E0E9E">
        <w:rPr>
          <w:szCs w:val="24"/>
        </w:rPr>
        <w:t xml:space="preserve">indicate that the written agreement precede creation, the words do not create such a temporal restriction on the </w:t>
      </w:r>
      <w:r w:rsidR="005E0E9E" w:rsidRPr="00421021">
        <w:rPr>
          <w:szCs w:val="24"/>
        </w:rPr>
        <w:t xml:space="preserve">written </w:t>
      </w:r>
      <w:r w:rsidR="005E0E9E">
        <w:rPr>
          <w:szCs w:val="24"/>
        </w:rPr>
        <w:t xml:space="preserve">agreement. </w:t>
      </w:r>
      <w:bookmarkStart w:id="41" w:name="CITRUS_BOOKMARK101"/>
      <w:proofErr w:type="gramStart"/>
      <w:r w:rsidR="00C42B12">
        <w:t>17 U.S.C. § 101</w:t>
      </w:r>
      <w:bookmarkEnd w:id="41"/>
      <w:r w:rsidR="005E0E9E">
        <w:t>.</w:t>
      </w:r>
      <w:proofErr w:type="gramEnd"/>
      <w:r w:rsidR="005E0E9E">
        <w:rPr>
          <w:szCs w:val="24"/>
        </w:rPr>
        <w:t xml:space="preserve"> The terms order and commission</w:t>
      </w:r>
      <w:r w:rsidR="00421021">
        <w:rPr>
          <w:szCs w:val="24"/>
        </w:rPr>
        <w:t xml:space="preserve"> refer to an act that initiates creation, that act does not need to be a written agreement. As in this case, an oral agreement suffices to order or commission a work. Interpreting order and commission so narrowly, when the plain meanings of the words do not so tailor them, misconstrues the intended meaning of the statute. Furthermore, “specially” preceding “ordered or commissioned”—“specially ordered or commissioned”</w:t>
      </w:r>
      <w:r w:rsidR="00DF25BB">
        <w:rPr>
          <w:szCs w:val="24"/>
        </w:rPr>
        <w:t>—</w:t>
      </w:r>
      <w:r w:rsidR="00421021">
        <w:rPr>
          <w:szCs w:val="24"/>
        </w:rPr>
        <w:t>refines the terms o</w:t>
      </w:r>
      <w:r w:rsidR="00DF25BB">
        <w:rPr>
          <w:szCs w:val="24"/>
        </w:rPr>
        <w:t xml:space="preserve">rder and commission to emphasize the limited scope of works that Congress meant for “work for hire” agreements to govern. </w:t>
      </w:r>
      <w:bookmarkStart w:id="42" w:name="CITRUS_BOOKMARK102"/>
      <w:r w:rsidR="00C42B12" w:rsidRPr="000D602A">
        <w:rPr>
          <w:i/>
        </w:rPr>
        <w:t>Id.</w:t>
      </w:r>
      <w:bookmarkEnd w:id="42"/>
      <w:r w:rsidR="00265AB4">
        <w:t xml:space="preserve"> Therefore, the plain language supports that no temporal restriction exists to limit the written agreement when an oral agreement initiates the creation.</w:t>
      </w:r>
    </w:p>
    <w:p w14:paraId="57510523" w14:textId="77777777" w:rsidR="00590B45" w:rsidRPr="00DA6748" w:rsidRDefault="008933FA" w:rsidP="00370215">
      <w:pPr>
        <w:spacing w:line="480" w:lineRule="auto"/>
        <w:rPr>
          <w:szCs w:val="24"/>
        </w:rPr>
      </w:pPr>
      <w:r>
        <w:rPr>
          <w:szCs w:val="24"/>
        </w:rPr>
        <w:tab/>
        <w:t xml:space="preserve">Lime and </w:t>
      </w:r>
      <w:proofErr w:type="spellStart"/>
      <w:r>
        <w:rPr>
          <w:szCs w:val="24"/>
        </w:rPr>
        <w:t>TinyTV</w:t>
      </w:r>
      <w:proofErr w:type="spellEnd"/>
      <w:r w:rsidR="00590B45">
        <w:rPr>
          <w:szCs w:val="24"/>
        </w:rPr>
        <w:t xml:space="preserve"> may </w:t>
      </w:r>
      <w:r w:rsidR="006F7F5F">
        <w:rPr>
          <w:szCs w:val="24"/>
        </w:rPr>
        <w:t xml:space="preserve">also </w:t>
      </w:r>
      <w:r w:rsidR="00590B45">
        <w:rPr>
          <w:szCs w:val="24"/>
        </w:rPr>
        <w:t>argue that the word “shall” implies that the written instrument must occur prior to the written agreement because Congress used “shall” i</w:t>
      </w:r>
      <w:r>
        <w:rPr>
          <w:szCs w:val="24"/>
        </w:rPr>
        <w:t>n the future tense to restrict</w:t>
      </w:r>
      <w:r w:rsidR="00590B45">
        <w:rPr>
          <w:szCs w:val="24"/>
        </w:rPr>
        <w:t xml:space="preserve"> the creation of the work subsequent to the written instrument. However, even if </w:t>
      </w:r>
      <w:r w:rsidR="00590B45">
        <w:rPr>
          <w:szCs w:val="24"/>
        </w:rPr>
        <w:lastRenderedPageBreak/>
        <w:t>the court interprets “shall” as future tense, “shall” modifies at what point the work becomes a valid “work for hire.” It becomes a valid “work for hire” after the written instrument is signed. The term “shall” d</w:t>
      </w:r>
      <w:r w:rsidR="00E91F28">
        <w:rPr>
          <w:szCs w:val="24"/>
        </w:rPr>
        <w:t>oes not create a temporal restriction for</w:t>
      </w:r>
      <w:r w:rsidR="00590B45">
        <w:rPr>
          <w:szCs w:val="24"/>
        </w:rPr>
        <w:t xml:space="preserve"> the written instrument with regard to the creation of the work. It does indicate, however, that a written instrument must occur prior to the future act of instilling authorship in the commissioner of the work. </w:t>
      </w:r>
      <w:r w:rsidR="00453479">
        <w:rPr>
          <w:szCs w:val="24"/>
        </w:rPr>
        <w:t>In the present case, an</w:t>
      </w:r>
      <w:r w:rsidR="00590B45">
        <w:rPr>
          <w:szCs w:val="24"/>
        </w:rPr>
        <w:t xml:space="preserve"> oral agreement established that a “work for hire” agreement </w:t>
      </w:r>
      <w:r w:rsidR="005B1E6C">
        <w:rPr>
          <w:szCs w:val="24"/>
        </w:rPr>
        <w:t>would govern</w:t>
      </w:r>
      <w:r w:rsidR="00453479">
        <w:rPr>
          <w:szCs w:val="24"/>
        </w:rPr>
        <w:t xml:space="preserve"> the writing of the screenplay</w:t>
      </w:r>
      <w:r w:rsidR="00590B45">
        <w:rPr>
          <w:szCs w:val="24"/>
        </w:rPr>
        <w:t>, and a written instrument</w:t>
      </w:r>
      <w:r w:rsidR="00453479">
        <w:rPr>
          <w:szCs w:val="24"/>
        </w:rPr>
        <w:t xml:space="preserve"> signed by</w:t>
      </w:r>
      <w:r w:rsidR="005F659A">
        <w:rPr>
          <w:szCs w:val="24"/>
        </w:rPr>
        <w:t xml:space="preserve"> both Lime and OGS</w:t>
      </w:r>
      <w:r w:rsidR="00453479">
        <w:rPr>
          <w:szCs w:val="24"/>
        </w:rPr>
        <w:t xml:space="preserve"> </w:t>
      </w:r>
      <w:r w:rsidR="00590B45">
        <w:rPr>
          <w:szCs w:val="24"/>
        </w:rPr>
        <w:t xml:space="preserve">followed shortly after to memorialize the agreement </w:t>
      </w:r>
      <w:r w:rsidR="00453479">
        <w:rPr>
          <w:szCs w:val="24"/>
        </w:rPr>
        <w:t>and impart</w:t>
      </w:r>
      <w:r w:rsidR="00590B45">
        <w:rPr>
          <w:szCs w:val="24"/>
        </w:rPr>
        <w:t xml:space="preserve"> authorship. Thus, </w:t>
      </w:r>
      <w:r w:rsidR="005F659A">
        <w:rPr>
          <w:szCs w:val="24"/>
        </w:rPr>
        <w:t xml:space="preserve">the agreement became a proper “work for hire” arrangement under </w:t>
      </w:r>
      <w:bookmarkStart w:id="43" w:name="CITRUS_BOOKMARK1000000103"/>
      <w:r w:rsidR="005F659A">
        <w:rPr>
          <w:szCs w:val="24"/>
        </w:rPr>
        <w:t>§ 101(2)</w:t>
      </w:r>
      <w:bookmarkEnd w:id="43"/>
      <w:r w:rsidR="005F659A">
        <w:rPr>
          <w:szCs w:val="24"/>
        </w:rPr>
        <w:t xml:space="preserve"> because </w:t>
      </w:r>
      <w:r w:rsidR="00590B45">
        <w:rPr>
          <w:szCs w:val="24"/>
        </w:rPr>
        <w:t xml:space="preserve">the </w:t>
      </w:r>
      <w:r w:rsidR="005F659A">
        <w:rPr>
          <w:szCs w:val="24"/>
        </w:rPr>
        <w:t>Act does not require</w:t>
      </w:r>
      <w:r w:rsidR="009579D3">
        <w:rPr>
          <w:szCs w:val="24"/>
        </w:rPr>
        <w:t xml:space="preserve"> that the written instrument precede the creation of the work.</w:t>
      </w:r>
      <w:r w:rsidR="00757E90">
        <w:rPr>
          <w:szCs w:val="24"/>
        </w:rPr>
        <w:t xml:space="preserve"> An analysis of the Act as a whole </w:t>
      </w:r>
      <w:r w:rsidR="00804A35">
        <w:rPr>
          <w:szCs w:val="24"/>
        </w:rPr>
        <w:t>further demonstrates an</w:t>
      </w:r>
      <w:r w:rsidR="00757E90">
        <w:rPr>
          <w:szCs w:val="24"/>
        </w:rPr>
        <w:t xml:space="preserve"> intent not to require a temporal restriction on the written instrument in a “work for hire” agreement.</w:t>
      </w:r>
    </w:p>
    <w:p w14:paraId="5A3EECC6" w14:textId="77777777" w:rsidR="001D56E6" w:rsidRPr="00736668" w:rsidRDefault="00757E90" w:rsidP="00736668">
      <w:pPr>
        <w:pStyle w:val="ListParagraph"/>
        <w:numPr>
          <w:ilvl w:val="0"/>
          <w:numId w:val="18"/>
        </w:numPr>
        <w:spacing w:line="480" w:lineRule="auto"/>
        <w:rPr>
          <w:b/>
          <w:szCs w:val="24"/>
        </w:rPr>
      </w:pPr>
      <w:r w:rsidRPr="00736668">
        <w:rPr>
          <w:b/>
          <w:szCs w:val="24"/>
        </w:rPr>
        <w:t>Reading the Act in Its Entirety</w:t>
      </w:r>
      <w:r w:rsidR="001D56E6" w:rsidRPr="00736668">
        <w:rPr>
          <w:b/>
          <w:szCs w:val="24"/>
        </w:rPr>
        <w:t xml:space="preserve"> Shows </w:t>
      </w:r>
      <w:r w:rsidRPr="00736668">
        <w:rPr>
          <w:b/>
          <w:szCs w:val="24"/>
        </w:rPr>
        <w:t xml:space="preserve">that </w:t>
      </w:r>
      <w:r w:rsidR="001D56E6" w:rsidRPr="00736668">
        <w:rPr>
          <w:b/>
          <w:szCs w:val="24"/>
        </w:rPr>
        <w:t>the D</w:t>
      </w:r>
      <w:r w:rsidRPr="00736668">
        <w:rPr>
          <w:b/>
          <w:szCs w:val="24"/>
        </w:rPr>
        <w:t>rafters Consciously Chose Not to Add a Temporal Restriction to a</w:t>
      </w:r>
      <w:r w:rsidR="001D56E6" w:rsidRPr="00736668">
        <w:rPr>
          <w:b/>
          <w:szCs w:val="24"/>
        </w:rPr>
        <w:t xml:space="preserve"> Written Instrument </w:t>
      </w:r>
      <w:r w:rsidRPr="00736668">
        <w:rPr>
          <w:b/>
          <w:szCs w:val="24"/>
        </w:rPr>
        <w:t>for a</w:t>
      </w:r>
      <w:r w:rsidR="001D56E6" w:rsidRPr="00736668">
        <w:rPr>
          <w:b/>
          <w:szCs w:val="24"/>
        </w:rPr>
        <w:t xml:space="preserve"> “Work for Hire”</w:t>
      </w:r>
    </w:p>
    <w:p w14:paraId="3B0E58B3" w14:textId="77777777" w:rsidR="00601D2B" w:rsidRDefault="00325131" w:rsidP="00370215">
      <w:pPr>
        <w:spacing w:line="480" w:lineRule="auto"/>
        <w:ind w:firstLine="720"/>
        <w:rPr>
          <w:snapToGrid/>
          <w:szCs w:val="24"/>
        </w:rPr>
      </w:pPr>
      <w:r>
        <w:rPr>
          <w:szCs w:val="24"/>
        </w:rPr>
        <w:t>A</w:t>
      </w:r>
      <w:r w:rsidR="002C6B5F">
        <w:rPr>
          <w:szCs w:val="24"/>
        </w:rPr>
        <w:t xml:space="preserve"> written instrument signed sub</w:t>
      </w:r>
      <w:r>
        <w:rPr>
          <w:szCs w:val="24"/>
        </w:rPr>
        <w:t>sequent to a work’s creation is legally valid because Congress was silent about such a requirement in</w:t>
      </w:r>
      <w:r w:rsidR="002C6B5F">
        <w:rPr>
          <w:szCs w:val="24"/>
        </w:rPr>
        <w:t xml:space="preserve"> </w:t>
      </w:r>
      <w:bookmarkStart w:id="44" w:name="CITRUS_BOOKMARK1000000033"/>
      <w:r w:rsidR="002C6B5F">
        <w:rPr>
          <w:szCs w:val="24"/>
        </w:rPr>
        <w:t>§ 101(2)</w:t>
      </w:r>
      <w:bookmarkEnd w:id="44"/>
      <w:r w:rsidR="002C6B5F">
        <w:rPr>
          <w:szCs w:val="24"/>
        </w:rPr>
        <w:t xml:space="preserve"> </w:t>
      </w:r>
      <w:r>
        <w:rPr>
          <w:szCs w:val="24"/>
        </w:rPr>
        <w:t xml:space="preserve">and § 201(b) </w:t>
      </w:r>
      <w:r w:rsidR="002C6B5F">
        <w:rPr>
          <w:szCs w:val="24"/>
        </w:rPr>
        <w:t>but expli</w:t>
      </w:r>
      <w:r>
        <w:rPr>
          <w:szCs w:val="24"/>
        </w:rPr>
        <w:t>cit in other sections of the Act</w:t>
      </w:r>
      <w:r w:rsidR="002C6B5F">
        <w:rPr>
          <w:szCs w:val="24"/>
        </w:rPr>
        <w:t xml:space="preserve">. </w:t>
      </w:r>
      <w:r>
        <w:rPr>
          <w:szCs w:val="24"/>
        </w:rPr>
        <w:t xml:space="preserve">The Court takes great pains not to interpret a statute as possessing textual requirements that are omitted in one section of a statue but found elsewhere in the same statute. </w:t>
      </w:r>
      <w:bookmarkStart w:id="45" w:name="CITRUS_BOOKMARK116"/>
      <w:r w:rsidR="00952C4B" w:rsidRPr="000D602A">
        <w:rPr>
          <w:i/>
          <w:szCs w:val="24"/>
        </w:rPr>
        <w:t>See</w:t>
      </w:r>
      <w:r w:rsidR="00952C4B" w:rsidRPr="000D602A">
        <w:rPr>
          <w:szCs w:val="24"/>
        </w:rPr>
        <w:t xml:space="preserve"> </w:t>
      </w:r>
      <w:proofErr w:type="spellStart"/>
      <w:r w:rsidR="00952C4B" w:rsidRPr="000D602A">
        <w:rPr>
          <w:i/>
          <w:szCs w:val="24"/>
        </w:rPr>
        <w:t>Jama</w:t>
      </w:r>
      <w:proofErr w:type="spellEnd"/>
      <w:r w:rsidR="00952C4B" w:rsidRPr="000D602A">
        <w:rPr>
          <w:i/>
          <w:szCs w:val="24"/>
        </w:rPr>
        <w:t xml:space="preserve"> v. </w:t>
      </w:r>
      <w:proofErr w:type="spellStart"/>
      <w:r w:rsidR="00952C4B" w:rsidRPr="000D602A">
        <w:rPr>
          <w:i/>
          <w:szCs w:val="24"/>
        </w:rPr>
        <w:t>Immig</w:t>
      </w:r>
      <w:proofErr w:type="spellEnd"/>
      <w:r w:rsidR="00952C4B" w:rsidRPr="000D602A">
        <w:rPr>
          <w:i/>
          <w:szCs w:val="24"/>
        </w:rPr>
        <w:t>. </w:t>
      </w:r>
      <w:proofErr w:type="gramStart"/>
      <w:r w:rsidR="00952C4B" w:rsidRPr="000D602A">
        <w:rPr>
          <w:i/>
          <w:szCs w:val="24"/>
        </w:rPr>
        <w:t>&amp; Customs Enforcement</w:t>
      </w:r>
      <w:r w:rsidR="00952C4B" w:rsidRPr="00952C4B">
        <w:rPr>
          <w:szCs w:val="24"/>
        </w:rPr>
        <w:t>, 543 U.S. 335, 341 (2005)</w:t>
      </w:r>
      <w:bookmarkEnd w:id="45"/>
      <w:r>
        <w:t>.</w:t>
      </w:r>
      <w:proofErr w:type="gramEnd"/>
      <w:r>
        <w:t xml:space="preserve"> </w:t>
      </w:r>
      <w:r w:rsidR="00567F2B">
        <w:rPr>
          <w:snapToGrid/>
          <w:szCs w:val="24"/>
        </w:rPr>
        <w:t xml:space="preserve">Other provisions within the Act demonstrate that Congress marked certain written instruments in the Act with temporal requirements but </w:t>
      </w:r>
      <w:r w:rsidR="00FD2168">
        <w:rPr>
          <w:snapToGrid/>
          <w:szCs w:val="24"/>
        </w:rPr>
        <w:t>omitted them from</w:t>
      </w:r>
      <w:r w:rsidR="00567F2B">
        <w:rPr>
          <w:snapToGrid/>
          <w:szCs w:val="24"/>
        </w:rPr>
        <w:t xml:space="preserve"> </w:t>
      </w:r>
      <w:bookmarkStart w:id="46" w:name="CITRUS_BOOKMARK1000000105"/>
      <w:r w:rsidR="00567F2B">
        <w:rPr>
          <w:snapToGrid/>
          <w:szCs w:val="24"/>
        </w:rPr>
        <w:t>§ 101(2)</w:t>
      </w:r>
      <w:bookmarkEnd w:id="46"/>
      <w:r w:rsidR="00567F2B">
        <w:rPr>
          <w:snapToGrid/>
          <w:szCs w:val="24"/>
        </w:rPr>
        <w:t xml:space="preserve"> and § 201(b). </w:t>
      </w:r>
      <w:r w:rsidR="002C6B5F">
        <w:rPr>
          <w:snapToGrid/>
          <w:szCs w:val="24"/>
        </w:rPr>
        <w:t xml:space="preserve">Under </w:t>
      </w:r>
      <w:bookmarkStart w:id="47" w:name="CITRUS_BOOKMARK1000000035"/>
      <w:r w:rsidR="002C6B5F">
        <w:rPr>
          <w:snapToGrid/>
          <w:szCs w:val="24"/>
        </w:rPr>
        <w:t>§ 203(a)(4)</w:t>
      </w:r>
      <w:bookmarkEnd w:id="47"/>
      <w:r w:rsidR="002C6B5F">
        <w:rPr>
          <w:snapToGrid/>
          <w:szCs w:val="24"/>
        </w:rPr>
        <w:t>, the statute explicitly states that “</w:t>
      </w:r>
      <w:r w:rsidR="002C6B5F">
        <w:rPr>
          <w:i/>
          <w:snapToGrid/>
          <w:szCs w:val="24"/>
        </w:rPr>
        <w:t>advanced</w:t>
      </w:r>
      <w:r w:rsidR="002C6B5F">
        <w:rPr>
          <w:snapToGrid/>
          <w:szCs w:val="24"/>
        </w:rPr>
        <w:t xml:space="preserve"> notice in writing, signed [italics mine]” is required. Under </w:t>
      </w:r>
      <w:bookmarkStart w:id="48" w:name="CITRUS_BOOKMARK1000000036"/>
      <w:r w:rsidR="002C6B5F">
        <w:rPr>
          <w:snapToGrid/>
          <w:szCs w:val="24"/>
        </w:rPr>
        <w:t>§ 110(4)(B)(</w:t>
      </w:r>
      <w:proofErr w:type="spellStart"/>
      <w:r w:rsidR="002C6B5F">
        <w:rPr>
          <w:snapToGrid/>
          <w:szCs w:val="24"/>
        </w:rPr>
        <w:t>i</w:t>
      </w:r>
      <w:proofErr w:type="spellEnd"/>
      <w:r w:rsidR="002C6B5F">
        <w:rPr>
          <w:snapToGrid/>
          <w:szCs w:val="24"/>
        </w:rPr>
        <w:t>-ii)</w:t>
      </w:r>
      <w:bookmarkEnd w:id="48"/>
      <w:r w:rsidR="002C6B5F">
        <w:rPr>
          <w:snapToGrid/>
          <w:szCs w:val="24"/>
        </w:rPr>
        <w:t xml:space="preserve">, the statutory language requires that “notice shall be in writing and signed” and </w:t>
      </w:r>
      <w:r w:rsidR="002C6B5F">
        <w:rPr>
          <w:snapToGrid/>
          <w:szCs w:val="24"/>
        </w:rPr>
        <w:lastRenderedPageBreak/>
        <w:t xml:space="preserve">“served . . . at least </w:t>
      </w:r>
      <w:r w:rsidR="002C6B5F">
        <w:rPr>
          <w:i/>
          <w:snapToGrid/>
          <w:szCs w:val="24"/>
        </w:rPr>
        <w:t>seven days before</w:t>
      </w:r>
      <w:r w:rsidR="002C6B5F">
        <w:rPr>
          <w:snapToGrid/>
          <w:szCs w:val="24"/>
        </w:rPr>
        <w:t xml:space="preserve"> the fate of performance [italics min</w:t>
      </w:r>
      <w:r>
        <w:rPr>
          <w:snapToGrid/>
          <w:szCs w:val="24"/>
        </w:rPr>
        <w:t xml:space="preserve">e].” </w:t>
      </w:r>
      <w:r w:rsidR="00567F2B">
        <w:rPr>
          <w:snapToGrid/>
          <w:szCs w:val="24"/>
        </w:rPr>
        <w:t>These passages</w:t>
      </w:r>
      <w:r w:rsidR="00D600CC">
        <w:rPr>
          <w:snapToGrid/>
          <w:szCs w:val="24"/>
        </w:rPr>
        <w:t xml:space="preserve"> emphasize that </w:t>
      </w:r>
      <w:r w:rsidR="000E797B">
        <w:rPr>
          <w:snapToGrid/>
          <w:szCs w:val="24"/>
        </w:rPr>
        <w:t>Congress</w:t>
      </w:r>
      <w:r w:rsidR="00D600CC">
        <w:rPr>
          <w:snapToGrid/>
          <w:szCs w:val="24"/>
        </w:rPr>
        <w:t xml:space="preserve"> deliberately intended</w:t>
      </w:r>
      <w:r w:rsidR="000E797B">
        <w:rPr>
          <w:snapToGrid/>
          <w:szCs w:val="24"/>
        </w:rPr>
        <w:t xml:space="preserve"> not to</w:t>
      </w:r>
      <w:r w:rsidR="002C6B5F">
        <w:rPr>
          <w:snapToGrid/>
          <w:szCs w:val="24"/>
        </w:rPr>
        <w:t xml:space="preserve"> limit </w:t>
      </w:r>
      <w:bookmarkStart w:id="49" w:name="CITRUS_BOOKMARK1000000037"/>
      <w:r w:rsidR="002C6B5F">
        <w:rPr>
          <w:snapToGrid/>
          <w:szCs w:val="24"/>
        </w:rPr>
        <w:t>§ 101(2)</w:t>
      </w:r>
      <w:bookmarkEnd w:id="49"/>
      <w:r w:rsidR="002C6B5F">
        <w:rPr>
          <w:snapToGrid/>
          <w:szCs w:val="24"/>
        </w:rPr>
        <w:t xml:space="preserve"> </w:t>
      </w:r>
      <w:r w:rsidR="000E797B">
        <w:rPr>
          <w:snapToGrid/>
          <w:szCs w:val="24"/>
        </w:rPr>
        <w:t xml:space="preserve">and § 201(b) </w:t>
      </w:r>
      <w:r w:rsidR="002C6B5F">
        <w:rPr>
          <w:snapToGrid/>
          <w:szCs w:val="24"/>
        </w:rPr>
        <w:t>with a temporal modality.</w:t>
      </w:r>
      <w:r w:rsidR="007804D9">
        <w:rPr>
          <w:snapToGrid/>
          <w:szCs w:val="24"/>
        </w:rPr>
        <w:t xml:space="preserve"> </w:t>
      </w:r>
      <w:r w:rsidR="000E797B">
        <w:rPr>
          <w:snapToGrid/>
          <w:szCs w:val="24"/>
        </w:rPr>
        <w:t>Thus,</w:t>
      </w:r>
      <w:r w:rsidR="007804D9">
        <w:rPr>
          <w:snapToGrid/>
          <w:szCs w:val="24"/>
        </w:rPr>
        <w:t xml:space="preserve"> </w:t>
      </w:r>
      <w:r w:rsidR="000E797B">
        <w:rPr>
          <w:snapToGrid/>
          <w:szCs w:val="24"/>
        </w:rPr>
        <w:t>an oral agreement</w:t>
      </w:r>
      <w:r w:rsidR="005603AA">
        <w:rPr>
          <w:snapToGrid/>
          <w:szCs w:val="24"/>
        </w:rPr>
        <w:t>,</w:t>
      </w:r>
      <w:r w:rsidR="000E797B">
        <w:rPr>
          <w:snapToGrid/>
          <w:szCs w:val="24"/>
        </w:rPr>
        <w:t xml:space="preserve"> prior to creation</w:t>
      </w:r>
      <w:r w:rsidR="005603AA">
        <w:rPr>
          <w:snapToGrid/>
          <w:szCs w:val="24"/>
        </w:rPr>
        <w:t>,</w:t>
      </w:r>
      <w:r w:rsidR="000E797B">
        <w:rPr>
          <w:snapToGrid/>
          <w:szCs w:val="24"/>
        </w:rPr>
        <w:t xml:space="preserve"> with a </w:t>
      </w:r>
      <w:r w:rsidR="002C6B5F">
        <w:rPr>
          <w:snapToGrid/>
          <w:szCs w:val="24"/>
        </w:rPr>
        <w:t>written i</w:t>
      </w:r>
      <w:r w:rsidR="000E797B">
        <w:rPr>
          <w:snapToGrid/>
          <w:szCs w:val="24"/>
        </w:rPr>
        <w:t>nstrument</w:t>
      </w:r>
      <w:r w:rsidR="005603AA">
        <w:rPr>
          <w:snapToGrid/>
          <w:szCs w:val="24"/>
        </w:rPr>
        <w:t>,</w:t>
      </w:r>
      <w:r w:rsidR="000E797B">
        <w:rPr>
          <w:snapToGrid/>
          <w:szCs w:val="24"/>
        </w:rPr>
        <w:t xml:space="preserve"> </w:t>
      </w:r>
      <w:r w:rsidR="005603AA">
        <w:rPr>
          <w:snapToGrid/>
          <w:szCs w:val="24"/>
        </w:rPr>
        <w:t xml:space="preserve">sign by both parties </w:t>
      </w:r>
      <w:r w:rsidR="000E797B">
        <w:rPr>
          <w:snapToGrid/>
          <w:szCs w:val="24"/>
        </w:rPr>
        <w:t>subsequent to</w:t>
      </w:r>
      <w:r w:rsidR="002C6B5F">
        <w:rPr>
          <w:snapToGrid/>
          <w:szCs w:val="24"/>
        </w:rPr>
        <w:t xml:space="preserve"> creation</w:t>
      </w:r>
      <w:r w:rsidR="005603AA">
        <w:rPr>
          <w:snapToGrid/>
          <w:szCs w:val="24"/>
        </w:rPr>
        <w:t>,</w:t>
      </w:r>
      <w:r w:rsidR="002C6B5F">
        <w:rPr>
          <w:snapToGrid/>
          <w:szCs w:val="24"/>
        </w:rPr>
        <w:t xml:space="preserve"> </w:t>
      </w:r>
      <w:r w:rsidR="009E1972">
        <w:rPr>
          <w:snapToGrid/>
          <w:szCs w:val="24"/>
        </w:rPr>
        <w:t>function</w:t>
      </w:r>
      <w:r w:rsidR="002C6B5F">
        <w:rPr>
          <w:snapToGrid/>
          <w:szCs w:val="24"/>
        </w:rPr>
        <w:t xml:space="preserve"> a</w:t>
      </w:r>
      <w:r w:rsidR="009E1972">
        <w:rPr>
          <w:snapToGrid/>
          <w:szCs w:val="24"/>
        </w:rPr>
        <w:t>s a</w:t>
      </w:r>
      <w:r w:rsidR="005603AA">
        <w:rPr>
          <w:snapToGrid/>
          <w:szCs w:val="24"/>
        </w:rPr>
        <w:t xml:space="preserve"> “work for hire” agreement, as</w:t>
      </w:r>
      <w:r w:rsidR="00D600CC">
        <w:rPr>
          <w:snapToGrid/>
          <w:szCs w:val="24"/>
        </w:rPr>
        <w:t xml:space="preserve"> in our present</w:t>
      </w:r>
      <w:r w:rsidR="009E1972">
        <w:rPr>
          <w:snapToGrid/>
          <w:szCs w:val="24"/>
        </w:rPr>
        <w:t xml:space="preserve"> case.</w:t>
      </w:r>
    </w:p>
    <w:p w14:paraId="306D8CAA" w14:textId="77777777" w:rsidR="009E1972" w:rsidRPr="002C6B5F" w:rsidRDefault="005603AA" w:rsidP="00D600CC">
      <w:pPr>
        <w:spacing w:line="480" w:lineRule="auto"/>
        <w:ind w:firstLine="720"/>
        <w:rPr>
          <w:snapToGrid/>
          <w:szCs w:val="24"/>
        </w:rPr>
      </w:pPr>
      <w:r>
        <w:rPr>
          <w:szCs w:val="24"/>
        </w:rPr>
        <w:t xml:space="preserve">Lime and </w:t>
      </w:r>
      <w:proofErr w:type="spellStart"/>
      <w:r>
        <w:rPr>
          <w:szCs w:val="24"/>
        </w:rPr>
        <w:t>TinyTV</w:t>
      </w:r>
      <w:proofErr w:type="spellEnd"/>
      <w:r w:rsidR="009E1972">
        <w:rPr>
          <w:szCs w:val="24"/>
        </w:rPr>
        <w:t xml:space="preserve"> may argue</w:t>
      </w:r>
      <w:r w:rsidR="007804D9">
        <w:rPr>
          <w:szCs w:val="24"/>
        </w:rPr>
        <w:t xml:space="preserve"> that a written</w:t>
      </w:r>
      <w:r w:rsidR="009E1972">
        <w:rPr>
          <w:szCs w:val="24"/>
        </w:rPr>
        <w:t xml:space="preserve"> instrument subsequent to</w:t>
      </w:r>
      <w:r w:rsidR="007804D9">
        <w:rPr>
          <w:szCs w:val="24"/>
        </w:rPr>
        <w:t xml:space="preserve"> a work’s</w:t>
      </w:r>
      <w:r w:rsidR="009E1972">
        <w:rPr>
          <w:szCs w:val="24"/>
        </w:rPr>
        <w:t xml:space="preserve"> creation </w:t>
      </w:r>
      <w:r w:rsidR="00660268">
        <w:rPr>
          <w:szCs w:val="24"/>
        </w:rPr>
        <w:t xml:space="preserve">under </w:t>
      </w:r>
      <w:bookmarkStart w:id="50" w:name="CITRUS_BOOKMARK1000000106"/>
      <w:r w:rsidR="00660268">
        <w:rPr>
          <w:szCs w:val="24"/>
        </w:rPr>
        <w:t>§ 101(2)</w:t>
      </w:r>
      <w:bookmarkEnd w:id="50"/>
      <w:r w:rsidR="00660268">
        <w:rPr>
          <w:szCs w:val="24"/>
        </w:rPr>
        <w:t xml:space="preserve"> or </w:t>
      </w:r>
      <w:bookmarkStart w:id="51" w:name="CITRUS_BOOKMARK1000000107"/>
      <w:r w:rsidR="00660268">
        <w:rPr>
          <w:szCs w:val="24"/>
        </w:rPr>
        <w:t>§ 201(b)</w:t>
      </w:r>
      <w:bookmarkEnd w:id="51"/>
      <w:r w:rsidR="00660268">
        <w:rPr>
          <w:szCs w:val="24"/>
        </w:rPr>
        <w:t xml:space="preserve"> </w:t>
      </w:r>
      <w:r w:rsidR="009E1972">
        <w:rPr>
          <w:szCs w:val="24"/>
        </w:rPr>
        <w:t xml:space="preserve">makes </w:t>
      </w:r>
      <w:bookmarkStart w:id="52" w:name="CITRUS_BOOKMARK1000000039"/>
      <w:r w:rsidR="009E1972" w:rsidRPr="00660268">
        <w:rPr>
          <w:szCs w:val="24"/>
        </w:rPr>
        <w:t>§ 204(a)</w:t>
      </w:r>
      <w:bookmarkEnd w:id="52"/>
      <w:r w:rsidR="009E1972">
        <w:rPr>
          <w:szCs w:val="24"/>
        </w:rPr>
        <w:t xml:space="preserve"> governing transfer of copyright redundant</w:t>
      </w:r>
      <w:r w:rsidR="004D791A">
        <w:rPr>
          <w:szCs w:val="24"/>
        </w:rPr>
        <w:t xml:space="preserve"> by creating a duplicative method of transferring copyrights</w:t>
      </w:r>
      <w:r w:rsidR="009E1972">
        <w:rPr>
          <w:szCs w:val="24"/>
        </w:rPr>
        <w:t xml:space="preserve">. </w:t>
      </w:r>
      <w:r w:rsidR="00D600CC">
        <w:rPr>
          <w:szCs w:val="24"/>
        </w:rPr>
        <w:t>Although c</w:t>
      </w:r>
      <w:r w:rsidR="007804D9">
        <w:rPr>
          <w:szCs w:val="24"/>
        </w:rPr>
        <w:t>ourts try not to construe statutes in a way that renders the statutory la</w:t>
      </w:r>
      <w:r w:rsidR="00D600CC">
        <w:rPr>
          <w:szCs w:val="24"/>
        </w:rPr>
        <w:t>nguage superfluous or redundant,</w:t>
      </w:r>
      <w:r w:rsidR="00660268">
        <w:rPr>
          <w:szCs w:val="24"/>
        </w:rPr>
        <w:t xml:space="preserve"> an </w:t>
      </w:r>
      <w:r w:rsidR="00D600CC">
        <w:rPr>
          <w:szCs w:val="24"/>
        </w:rPr>
        <w:t>i</w:t>
      </w:r>
      <w:r w:rsidR="00660268">
        <w:rPr>
          <w:szCs w:val="24"/>
        </w:rPr>
        <w:t>nterpretation of</w:t>
      </w:r>
      <w:r w:rsidR="007804D9">
        <w:rPr>
          <w:szCs w:val="24"/>
        </w:rPr>
        <w:t xml:space="preserve"> </w:t>
      </w:r>
      <w:bookmarkStart w:id="53" w:name="CITRUS_BOOKMARK1000000041"/>
      <w:r w:rsidR="007804D9">
        <w:rPr>
          <w:szCs w:val="24"/>
        </w:rPr>
        <w:t>§ 101(2)</w:t>
      </w:r>
      <w:bookmarkEnd w:id="53"/>
      <w:r w:rsidR="00660268">
        <w:rPr>
          <w:szCs w:val="24"/>
        </w:rPr>
        <w:t xml:space="preserve"> and § 201(b) as allowing</w:t>
      </w:r>
      <w:r w:rsidR="007804D9">
        <w:rPr>
          <w:szCs w:val="24"/>
        </w:rPr>
        <w:t xml:space="preserve"> a </w:t>
      </w:r>
      <w:r w:rsidR="002A3134">
        <w:rPr>
          <w:szCs w:val="24"/>
        </w:rPr>
        <w:t xml:space="preserve">subsequent written instrument </w:t>
      </w:r>
      <w:r w:rsidR="00660268">
        <w:rPr>
          <w:szCs w:val="24"/>
        </w:rPr>
        <w:t>does not generate any</w:t>
      </w:r>
      <w:r w:rsidR="007804D9">
        <w:rPr>
          <w:szCs w:val="24"/>
        </w:rPr>
        <w:t xml:space="preserve"> </w:t>
      </w:r>
      <w:r w:rsidR="00660268">
        <w:rPr>
          <w:szCs w:val="24"/>
        </w:rPr>
        <w:t>redundancies</w:t>
      </w:r>
      <w:r w:rsidR="007804D9">
        <w:rPr>
          <w:szCs w:val="24"/>
        </w:rPr>
        <w:t xml:space="preserve"> or superfluous</w:t>
      </w:r>
      <w:r w:rsidR="002A3134">
        <w:rPr>
          <w:szCs w:val="24"/>
        </w:rPr>
        <w:t>ness</w:t>
      </w:r>
      <w:r w:rsidR="007804D9">
        <w:rPr>
          <w:szCs w:val="24"/>
        </w:rPr>
        <w:t>.</w:t>
      </w:r>
      <w:r w:rsidR="00D600CC">
        <w:rPr>
          <w:szCs w:val="24"/>
        </w:rPr>
        <w:t xml:space="preserve"> </w:t>
      </w:r>
      <w:bookmarkStart w:id="54" w:name="CITRUS_BOOKMARK95"/>
      <w:r w:rsidR="00E224F0" w:rsidRPr="000D602A">
        <w:rPr>
          <w:i/>
          <w:szCs w:val="24"/>
        </w:rPr>
        <w:t>See</w:t>
      </w:r>
      <w:r w:rsidR="00E224F0" w:rsidRPr="000D602A">
        <w:rPr>
          <w:szCs w:val="24"/>
        </w:rPr>
        <w:t xml:space="preserve"> </w:t>
      </w:r>
      <w:r w:rsidR="00E224F0" w:rsidRPr="000D602A">
        <w:rPr>
          <w:i/>
          <w:szCs w:val="24"/>
        </w:rPr>
        <w:t xml:space="preserve">Conn. Nat'l Bank v. </w:t>
      </w:r>
      <w:proofErr w:type="spellStart"/>
      <w:r w:rsidR="00E224F0" w:rsidRPr="000D602A">
        <w:rPr>
          <w:i/>
          <w:szCs w:val="24"/>
        </w:rPr>
        <w:t>Germain</w:t>
      </w:r>
      <w:proofErr w:type="spellEnd"/>
      <w:r w:rsidR="00E224F0" w:rsidRPr="00E224F0">
        <w:rPr>
          <w:szCs w:val="24"/>
        </w:rPr>
        <w:t>, 503 U.S. 249, 253 (1992)</w:t>
      </w:r>
      <w:bookmarkEnd w:id="54"/>
      <w:r w:rsidR="00D600CC">
        <w:rPr>
          <w:szCs w:val="24"/>
        </w:rPr>
        <w:t>.</w:t>
      </w:r>
      <w:r w:rsidR="007804D9">
        <w:rPr>
          <w:szCs w:val="24"/>
        </w:rPr>
        <w:t xml:space="preserve"> </w:t>
      </w:r>
      <w:r w:rsidR="007A52DE">
        <w:rPr>
          <w:szCs w:val="24"/>
        </w:rPr>
        <w:t xml:space="preserve">An examination of the entire statutory scheme shows that a subsequent written instrument in </w:t>
      </w:r>
      <w:bookmarkStart w:id="55" w:name="CITRUS_BOOKMARK1000000108"/>
      <w:r w:rsidR="007A52DE">
        <w:rPr>
          <w:szCs w:val="24"/>
        </w:rPr>
        <w:t>§ 101(2)</w:t>
      </w:r>
      <w:bookmarkEnd w:id="55"/>
      <w:r w:rsidR="007A52DE">
        <w:rPr>
          <w:szCs w:val="24"/>
        </w:rPr>
        <w:t xml:space="preserve"> and § 201(b) does not generate any </w:t>
      </w:r>
      <w:r w:rsidR="003328FE">
        <w:rPr>
          <w:szCs w:val="24"/>
        </w:rPr>
        <w:t xml:space="preserve">repetitiveness or </w:t>
      </w:r>
      <w:r w:rsidR="007A52DE">
        <w:rPr>
          <w:szCs w:val="24"/>
        </w:rPr>
        <w:t xml:space="preserve">verbiage. </w:t>
      </w:r>
      <w:r w:rsidR="007804D9">
        <w:rPr>
          <w:szCs w:val="24"/>
        </w:rPr>
        <w:t xml:space="preserve">Under </w:t>
      </w:r>
      <w:bookmarkStart w:id="56" w:name="CITRUS_BOOKMARK1000000042"/>
      <w:r w:rsidR="007804D9">
        <w:rPr>
          <w:szCs w:val="24"/>
        </w:rPr>
        <w:t>§ 204(a)</w:t>
      </w:r>
      <w:bookmarkEnd w:id="56"/>
      <w:r w:rsidR="007804D9">
        <w:rPr>
          <w:szCs w:val="24"/>
        </w:rPr>
        <w:t xml:space="preserve">, </w:t>
      </w:r>
      <w:r w:rsidR="004D791A">
        <w:rPr>
          <w:szCs w:val="24"/>
        </w:rPr>
        <w:t xml:space="preserve">only the copyrights transfer, while under </w:t>
      </w:r>
      <w:bookmarkStart w:id="57" w:name="CITRUS_BOOKMARK1000000043"/>
      <w:r w:rsidR="004D791A">
        <w:rPr>
          <w:szCs w:val="24"/>
        </w:rPr>
        <w:t>§ 101(2)</w:t>
      </w:r>
      <w:bookmarkEnd w:id="57"/>
      <w:r w:rsidR="004D791A">
        <w:rPr>
          <w:szCs w:val="24"/>
        </w:rPr>
        <w:t xml:space="preserve"> complete authorship transfers. </w:t>
      </w:r>
      <w:r w:rsidR="00C76A4D">
        <w:rPr>
          <w:szCs w:val="24"/>
        </w:rPr>
        <w:t xml:space="preserve">Furthermore, </w:t>
      </w:r>
      <w:bookmarkStart w:id="58" w:name="CITRUS_BOOKMARK1000000044"/>
      <w:r w:rsidR="00C76A4D" w:rsidRPr="00C64B5E">
        <w:rPr>
          <w:szCs w:val="24"/>
        </w:rPr>
        <w:t>§ 101(2)</w:t>
      </w:r>
      <w:bookmarkEnd w:id="58"/>
      <w:r w:rsidR="00C76A4D">
        <w:rPr>
          <w:szCs w:val="24"/>
        </w:rPr>
        <w:t xml:space="preserve"> eliminates the original creator’s ability to terminate a transfer or license after 35 years pursuant to </w:t>
      </w:r>
      <w:bookmarkStart w:id="59" w:name="CITRUS_BOOKMARK1000000045"/>
      <w:r w:rsidR="00C76A4D">
        <w:rPr>
          <w:szCs w:val="24"/>
        </w:rPr>
        <w:t>§ 203(a)</w:t>
      </w:r>
      <w:bookmarkEnd w:id="59"/>
      <w:r w:rsidR="00C76A4D">
        <w:rPr>
          <w:szCs w:val="24"/>
        </w:rPr>
        <w:t xml:space="preserve">; that is not the case under </w:t>
      </w:r>
      <w:bookmarkStart w:id="60" w:name="CITRUS_BOOKMARK1000000046"/>
      <w:r w:rsidR="00C76A4D">
        <w:rPr>
          <w:szCs w:val="24"/>
        </w:rPr>
        <w:t>§ 204(a)</w:t>
      </w:r>
      <w:bookmarkEnd w:id="60"/>
      <w:r w:rsidR="00C76A4D">
        <w:rPr>
          <w:szCs w:val="24"/>
        </w:rPr>
        <w:t xml:space="preserve">. </w:t>
      </w:r>
      <w:r w:rsidR="00660268">
        <w:rPr>
          <w:szCs w:val="24"/>
        </w:rPr>
        <w:t>Also, t</w:t>
      </w:r>
      <w:r w:rsidR="00783B45">
        <w:rPr>
          <w:szCs w:val="24"/>
        </w:rPr>
        <w:t xml:space="preserve">he writing requirement for </w:t>
      </w:r>
      <w:bookmarkStart w:id="61" w:name="CITRUS_BOOKMARK1000000109"/>
      <w:r w:rsidR="00783B45">
        <w:rPr>
          <w:szCs w:val="24"/>
        </w:rPr>
        <w:t>§ 204(a)</w:t>
      </w:r>
      <w:bookmarkEnd w:id="61"/>
      <w:r w:rsidR="00783B45">
        <w:rPr>
          <w:szCs w:val="24"/>
        </w:rPr>
        <w:t xml:space="preserve"> only requires the signature of the grantor</w:t>
      </w:r>
      <w:r w:rsidR="00660268">
        <w:rPr>
          <w:szCs w:val="24"/>
        </w:rPr>
        <w:t>,</w:t>
      </w:r>
      <w:r w:rsidR="00783B45">
        <w:rPr>
          <w:szCs w:val="24"/>
        </w:rPr>
        <w:t xml:space="preserve"> while </w:t>
      </w:r>
      <w:bookmarkStart w:id="62" w:name="CITRUS_BOOKMARK1000000110"/>
      <w:r w:rsidR="00783B45">
        <w:rPr>
          <w:szCs w:val="24"/>
        </w:rPr>
        <w:t>§ 101(2)</w:t>
      </w:r>
      <w:bookmarkEnd w:id="62"/>
      <w:r w:rsidR="00783B45">
        <w:rPr>
          <w:szCs w:val="24"/>
        </w:rPr>
        <w:t xml:space="preserve"> requires both parties to sign the agreement. </w:t>
      </w:r>
      <w:bookmarkStart w:id="63" w:name="CITRUS_BOOKMARK111"/>
      <w:r w:rsidR="00C42B12" w:rsidRPr="000D602A">
        <w:rPr>
          <w:i/>
        </w:rPr>
        <w:t>Homeowner Options for Mass. Elders, Inc. v. Brookline Bancorp, Inc.</w:t>
      </w:r>
      <w:r w:rsidR="00C42B12">
        <w:t>, 754 F. Supp. 2d 201, 208 (D. Mass. 2010)</w:t>
      </w:r>
      <w:bookmarkEnd w:id="63"/>
      <w:r w:rsidR="00783B45">
        <w:t xml:space="preserve">. </w:t>
      </w:r>
      <w:r w:rsidR="00D76CA3">
        <w:rPr>
          <w:szCs w:val="24"/>
        </w:rPr>
        <w:t xml:space="preserve">These </w:t>
      </w:r>
      <w:r w:rsidR="00783B45">
        <w:rPr>
          <w:szCs w:val="24"/>
        </w:rPr>
        <w:t>discrepancies allow</w:t>
      </w:r>
      <w:r w:rsidR="00D76CA3">
        <w:rPr>
          <w:szCs w:val="24"/>
        </w:rPr>
        <w:t xml:space="preserve"> </w:t>
      </w:r>
      <w:bookmarkStart w:id="64" w:name="CITRUS_BOOKMARK1000000047"/>
      <w:r w:rsidR="00D76CA3" w:rsidRPr="00783B45">
        <w:rPr>
          <w:szCs w:val="24"/>
        </w:rPr>
        <w:t>§ 101(2)</w:t>
      </w:r>
      <w:bookmarkEnd w:id="64"/>
      <w:r w:rsidR="00783B45" w:rsidRPr="00783B45">
        <w:rPr>
          <w:szCs w:val="24"/>
        </w:rPr>
        <w:t xml:space="preserve"> </w:t>
      </w:r>
      <w:r w:rsidR="00660268">
        <w:rPr>
          <w:szCs w:val="24"/>
        </w:rPr>
        <w:t xml:space="preserve">and § 201(b) </w:t>
      </w:r>
      <w:r w:rsidR="00783B45">
        <w:rPr>
          <w:szCs w:val="24"/>
        </w:rPr>
        <w:t>to function with a subsequent written instrument without creating redundancies or superfluousness</w:t>
      </w:r>
      <w:r w:rsidR="00075A47">
        <w:rPr>
          <w:szCs w:val="24"/>
        </w:rPr>
        <w:t xml:space="preserve"> with</w:t>
      </w:r>
      <w:r w:rsidR="00783B45">
        <w:rPr>
          <w:szCs w:val="24"/>
        </w:rPr>
        <w:t xml:space="preserve"> </w:t>
      </w:r>
      <w:r w:rsidR="00075A47">
        <w:rPr>
          <w:szCs w:val="24"/>
        </w:rPr>
        <w:t>other provisions in</w:t>
      </w:r>
      <w:r w:rsidR="00783B45">
        <w:rPr>
          <w:szCs w:val="24"/>
        </w:rPr>
        <w:t xml:space="preserve"> the Act.</w:t>
      </w:r>
    </w:p>
    <w:p w14:paraId="75BA3417" w14:textId="77777777" w:rsidR="00C10D31" w:rsidRPr="00C10D31" w:rsidRDefault="00D76CA3" w:rsidP="00370215">
      <w:pPr>
        <w:widowControl/>
        <w:spacing w:line="480" w:lineRule="auto"/>
        <w:ind w:firstLine="720"/>
        <w:rPr>
          <w:snapToGrid/>
          <w:szCs w:val="24"/>
        </w:rPr>
      </w:pPr>
      <w:r>
        <w:rPr>
          <w:snapToGrid/>
          <w:szCs w:val="24"/>
        </w:rPr>
        <w:t>As previously mentioned, t</w:t>
      </w:r>
      <w:r w:rsidR="00C10D31">
        <w:rPr>
          <w:snapToGrid/>
          <w:szCs w:val="24"/>
        </w:rPr>
        <w:t>he court’s “</w:t>
      </w:r>
      <w:r w:rsidR="00C10D31" w:rsidRPr="00C10D31">
        <w:rPr>
          <w:snapToGrid/>
          <w:szCs w:val="24"/>
        </w:rPr>
        <w:t>inquiry must cease if the statuto</w:t>
      </w:r>
      <w:r w:rsidR="00C10D31">
        <w:rPr>
          <w:snapToGrid/>
          <w:szCs w:val="24"/>
        </w:rPr>
        <w:t xml:space="preserve">ry language is unambiguous and </w:t>
      </w:r>
      <w:r w:rsidR="00C10D31" w:rsidRPr="00C10D31">
        <w:rPr>
          <w:snapToGrid/>
          <w:szCs w:val="24"/>
        </w:rPr>
        <w:t>the statutory scheme is coherent and consistent.”</w:t>
      </w:r>
      <w:r w:rsidR="00C10D31">
        <w:rPr>
          <w:snapToGrid/>
          <w:szCs w:val="24"/>
        </w:rPr>
        <w:t xml:space="preserve"> </w:t>
      </w:r>
      <w:bookmarkStart w:id="65" w:name="CITRUS_BOOKMARK53"/>
      <w:r w:rsidR="00081E01" w:rsidRPr="000D602A">
        <w:rPr>
          <w:i/>
          <w:snapToGrid/>
          <w:szCs w:val="24"/>
        </w:rPr>
        <w:t>Robinson</w:t>
      </w:r>
      <w:r w:rsidR="00081E01">
        <w:rPr>
          <w:snapToGrid/>
          <w:szCs w:val="24"/>
        </w:rPr>
        <w:t>, 519 U.S. at 340</w:t>
      </w:r>
      <w:bookmarkEnd w:id="65"/>
      <w:r w:rsidR="00C76A4D">
        <w:rPr>
          <w:snapToGrid/>
          <w:szCs w:val="24"/>
        </w:rPr>
        <w:t>.</w:t>
      </w:r>
      <w:r w:rsidR="0091290B">
        <w:rPr>
          <w:snapToGrid/>
          <w:szCs w:val="24"/>
        </w:rPr>
        <w:t xml:space="preserve"> There is no ambiguous language because Congress </w:t>
      </w:r>
      <w:r w:rsidR="003E2DE7">
        <w:rPr>
          <w:snapToGrid/>
          <w:szCs w:val="24"/>
        </w:rPr>
        <w:t>omitted a temporal restriction</w:t>
      </w:r>
      <w:r w:rsidR="0091290B">
        <w:rPr>
          <w:snapToGrid/>
          <w:szCs w:val="24"/>
        </w:rPr>
        <w:t>.</w:t>
      </w:r>
      <w:r w:rsidR="00142513">
        <w:rPr>
          <w:snapToGrid/>
          <w:szCs w:val="24"/>
        </w:rPr>
        <w:t xml:space="preserve"> Furthermore</w:t>
      </w:r>
      <w:r w:rsidR="006C3072">
        <w:rPr>
          <w:snapToGrid/>
          <w:szCs w:val="24"/>
        </w:rPr>
        <w:t xml:space="preserve">, </w:t>
      </w:r>
      <w:r w:rsidR="003E2DE7">
        <w:rPr>
          <w:snapToGrid/>
          <w:szCs w:val="24"/>
        </w:rPr>
        <w:t xml:space="preserve">a subsequent written instrument with a prior oral agreement in </w:t>
      </w:r>
      <w:bookmarkStart w:id="66" w:name="CITRUS_BOOKMARK1000000112"/>
      <w:r w:rsidR="003E2DE7">
        <w:rPr>
          <w:snapToGrid/>
          <w:szCs w:val="24"/>
        </w:rPr>
        <w:t>§ 101(2)</w:t>
      </w:r>
      <w:bookmarkEnd w:id="66"/>
      <w:r w:rsidR="003E2DE7">
        <w:rPr>
          <w:snapToGrid/>
          <w:szCs w:val="24"/>
        </w:rPr>
        <w:t xml:space="preserve"> permits </w:t>
      </w:r>
      <w:r w:rsidR="0091290B">
        <w:rPr>
          <w:snapToGrid/>
          <w:szCs w:val="24"/>
        </w:rPr>
        <w:t xml:space="preserve">a coherent and </w:t>
      </w:r>
      <w:r w:rsidR="0091290B">
        <w:rPr>
          <w:snapToGrid/>
          <w:szCs w:val="24"/>
        </w:rPr>
        <w:lastRenderedPageBreak/>
        <w:t xml:space="preserve">consistent </w:t>
      </w:r>
      <w:r w:rsidR="003E2DE7">
        <w:rPr>
          <w:snapToGrid/>
          <w:szCs w:val="24"/>
        </w:rPr>
        <w:t>reading of the statute.</w:t>
      </w:r>
      <w:r w:rsidR="00EE276A">
        <w:rPr>
          <w:snapToGrid/>
          <w:szCs w:val="24"/>
        </w:rPr>
        <w:t xml:space="preserve"> However, if the court finds the statute unclear, the court clarifies the statute by assessing the policy interests and the legislative history.</w:t>
      </w:r>
    </w:p>
    <w:p w14:paraId="036D4A80" w14:textId="77777777" w:rsidR="00DF5785" w:rsidRPr="00736668" w:rsidRDefault="00F0311F" w:rsidP="00736668">
      <w:pPr>
        <w:pStyle w:val="ListParagraph"/>
        <w:numPr>
          <w:ilvl w:val="0"/>
          <w:numId w:val="14"/>
        </w:numPr>
        <w:spacing w:line="480" w:lineRule="auto"/>
        <w:rPr>
          <w:b/>
          <w:szCs w:val="24"/>
        </w:rPr>
      </w:pPr>
      <w:r w:rsidRPr="00736668">
        <w:rPr>
          <w:b/>
          <w:szCs w:val="24"/>
        </w:rPr>
        <w:t xml:space="preserve">A Subsequent Written Instrument Upholds Congress’ and Society’s Policy Reasons for Requiring a Written Instrument Under </w:t>
      </w:r>
      <w:bookmarkStart w:id="67" w:name="CITRUS_BOOKMARK1000000055"/>
      <w:r w:rsidRPr="00736668">
        <w:rPr>
          <w:b/>
          <w:szCs w:val="24"/>
        </w:rPr>
        <w:t>§ 101(2)</w:t>
      </w:r>
      <w:bookmarkEnd w:id="67"/>
    </w:p>
    <w:p w14:paraId="12CFB298" w14:textId="77777777" w:rsidR="00816AA8" w:rsidRDefault="00ED4B29" w:rsidP="00816AA8">
      <w:pPr>
        <w:spacing w:line="480" w:lineRule="auto"/>
        <w:ind w:firstLine="720"/>
      </w:pPr>
      <w:r>
        <w:rPr>
          <w:szCs w:val="24"/>
        </w:rPr>
        <w:t>A subsequent written instrument validly creating a “work for hire” agreement upholds and p</w:t>
      </w:r>
      <w:r w:rsidR="00FB1C56">
        <w:rPr>
          <w:szCs w:val="24"/>
        </w:rPr>
        <w:t>romotes the policy concerns</w:t>
      </w:r>
      <w:r w:rsidR="00677B49">
        <w:rPr>
          <w:szCs w:val="24"/>
        </w:rPr>
        <w:t xml:space="preserve"> of the Act</w:t>
      </w:r>
      <w:r>
        <w:rPr>
          <w:szCs w:val="24"/>
        </w:rPr>
        <w:t xml:space="preserve">. </w:t>
      </w:r>
      <w:r w:rsidR="00FB1C56">
        <w:rPr>
          <w:szCs w:val="24"/>
        </w:rPr>
        <w:t>After examining the plain language of a statute</w:t>
      </w:r>
      <w:r>
        <w:rPr>
          <w:szCs w:val="24"/>
        </w:rPr>
        <w:t>, a court</w:t>
      </w:r>
      <w:r w:rsidR="00453479" w:rsidRPr="00453479">
        <w:rPr>
          <w:szCs w:val="24"/>
        </w:rPr>
        <w:t xml:space="preserve"> </w:t>
      </w:r>
      <w:r>
        <w:rPr>
          <w:szCs w:val="24"/>
        </w:rPr>
        <w:t>“</w:t>
      </w:r>
      <w:r w:rsidR="00453479" w:rsidRPr="00453479">
        <w:rPr>
          <w:szCs w:val="24"/>
        </w:rPr>
        <w:t xml:space="preserve">will consider the evil which it was designed to remedy, and for this purpose will look into contemporaneous events.” </w:t>
      </w:r>
      <w:bookmarkStart w:id="68" w:name="CITRUS_BOOKMARK97"/>
      <w:proofErr w:type="gramStart"/>
      <w:r w:rsidR="00FB1C56" w:rsidRPr="000D602A">
        <w:rPr>
          <w:i/>
          <w:szCs w:val="24"/>
        </w:rPr>
        <w:t>Church of Holy Trinity v. United States</w:t>
      </w:r>
      <w:r w:rsidR="00FB1C56" w:rsidRPr="00FB1C56">
        <w:rPr>
          <w:szCs w:val="24"/>
        </w:rPr>
        <w:t>, 143 U.S. 457, 463 (1892)</w:t>
      </w:r>
      <w:bookmarkEnd w:id="68"/>
      <w:r w:rsidR="00453479" w:rsidRPr="00453479">
        <w:rPr>
          <w:szCs w:val="24"/>
        </w:rPr>
        <w:t>.</w:t>
      </w:r>
      <w:proofErr w:type="gramEnd"/>
      <w:r w:rsidR="00453479" w:rsidRPr="00453479">
        <w:rPr>
          <w:szCs w:val="24"/>
        </w:rPr>
        <w:t xml:space="preserve"> </w:t>
      </w:r>
      <w:r w:rsidR="005533F5">
        <w:rPr>
          <w:szCs w:val="24"/>
        </w:rPr>
        <w:t xml:space="preserve">The court will look at </w:t>
      </w:r>
      <w:r w:rsidR="004D791A">
        <w:rPr>
          <w:szCs w:val="24"/>
        </w:rPr>
        <w:t xml:space="preserve">“the provision of the whole law, and . . . its object and policy.” </w:t>
      </w:r>
      <w:bookmarkStart w:id="69" w:name="CITRUS_BOOKMARK57"/>
      <w:proofErr w:type="gramStart"/>
      <w:r w:rsidR="004D791A" w:rsidRPr="000D602A">
        <w:rPr>
          <w:i/>
          <w:szCs w:val="24"/>
        </w:rPr>
        <w:t>Kelly v. Robinson</w:t>
      </w:r>
      <w:r w:rsidR="004D791A" w:rsidRPr="00081E01">
        <w:rPr>
          <w:szCs w:val="24"/>
        </w:rPr>
        <w:t>, 479 U.S. 36, 43 (1986)</w:t>
      </w:r>
      <w:bookmarkEnd w:id="69"/>
      <w:r w:rsidR="004D791A">
        <w:rPr>
          <w:szCs w:val="24"/>
        </w:rPr>
        <w:t>.</w:t>
      </w:r>
      <w:proofErr w:type="gramEnd"/>
      <w:r w:rsidR="00DF5785" w:rsidRPr="00DF5785">
        <w:t xml:space="preserve"> </w:t>
      </w:r>
      <w:r w:rsidR="006F19CA">
        <w:t xml:space="preserve">Since a court looks at the surrounding circumstances, it is important to examine the competing interests. </w:t>
      </w:r>
      <w:r w:rsidR="00DF5785">
        <w:t>One of Congress’ primar</w:t>
      </w:r>
      <w:r w:rsidR="00B66322">
        <w:t>y goals in revising the Copyright Act of 1976</w:t>
      </w:r>
      <w:r w:rsidR="00DF5785">
        <w:t xml:space="preserve"> was to enhance “predictability and certainty of copyright ownership.” H.R. Rep. No. 94-1476, at 129 (1976). </w:t>
      </w:r>
      <w:r w:rsidR="006009D8">
        <w:t xml:space="preserve">These factors promote a “copyright marketplace” in which parties “at the outset can settle on relevant contractual terms, such as price for the work and the ownership of reproduction rights.” </w:t>
      </w:r>
      <w:bookmarkStart w:id="70" w:name="CITRUS_BOOKMARK1000000058"/>
      <w:proofErr w:type="gramStart"/>
      <w:r w:rsidR="006009D8" w:rsidRPr="00525D49">
        <w:rPr>
          <w:snapToGrid/>
          <w:szCs w:val="24"/>
        </w:rPr>
        <w:t>490 U.S.</w:t>
      </w:r>
      <w:r w:rsidR="006009D8" w:rsidRPr="00525D49">
        <w:rPr>
          <w:szCs w:val="24"/>
        </w:rPr>
        <w:t xml:space="preserve"> at</w:t>
      </w:r>
      <w:r w:rsidR="006009D8">
        <w:t xml:space="preserve"> 749</w:t>
      </w:r>
      <w:bookmarkEnd w:id="70"/>
      <w:r w:rsidR="006009D8">
        <w:t>.</w:t>
      </w:r>
      <w:proofErr w:type="gramEnd"/>
      <w:r w:rsidR="006009D8">
        <w:t xml:space="preserve"> </w:t>
      </w:r>
      <w:r w:rsidR="0012102D" w:rsidRPr="0012102D">
        <w:t>Predictability does not exist if two parties orally agree to "work for hire" terms, establishing a price and deadline, as in our case, and then a delay of ten days in signing an instrument thwarts the parties intentions manifested both orally and in writing.</w:t>
      </w:r>
      <w:r w:rsidR="0012102D">
        <w:t xml:space="preserve"> </w:t>
      </w:r>
      <w:r w:rsidR="00353221">
        <w:t>Ten days is a relatively short period. The subsequent timing of the written agreement in no way affects the clarity of ownership where the par</w:t>
      </w:r>
      <w:r w:rsidR="006009D8">
        <w:t>ties orally agree upon the copyright ownership</w:t>
      </w:r>
      <w:r w:rsidR="00353221">
        <w:t xml:space="preserve"> and </w:t>
      </w:r>
      <w:r w:rsidR="0012102D">
        <w:t>price</w:t>
      </w:r>
      <w:r w:rsidR="00353221">
        <w:t>.</w:t>
      </w:r>
      <w:r w:rsidR="00816AA8">
        <w:t xml:space="preserve"> </w:t>
      </w:r>
    </w:p>
    <w:p w14:paraId="45033D7F" w14:textId="77777777" w:rsidR="00DF5785" w:rsidRDefault="00DF5785" w:rsidP="00370215">
      <w:pPr>
        <w:spacing w:line="480" w:lineRule="auto"/>
        <w:ind w:firstLine="720"/>
      </w:pPr>
      <w:r>
        <w:t>A more basic policy concern is the right to freedom of contract and the mutual intent of the parties</w:t>
      </w:r>
      <w:r w:rsidR="0012102D">
        <w:t>. Lime and OGS do not dispute that they</w:t>
      </w:r>
      <w:r>
        <w:t xml:space="preserve"> orally agreed to a “work for hire” agreement prior to the work’s creation with a subsequent written instrument memorializing this intent </w:t>
      </w:r>
      <w:r w:rsidR="006C3263">
        <w:t xml:space="preserve">ten </w:t>
      </w:r>
      <w:r w:rsidR="006C3263">
        <w:lastRenderedPageBreak/>
        <w:t>days</w:t>
      </w:r>
      <w:r>
        <w:t xml:space="preserve"> later. </w:t>
      </w:r>
      <w:r w:rsidR="0012102D">
        <w:t>Lime</w:t>
      </w:r>
      <w:r w:rsidR="0078399E">
        <w:t xml:space="preserve"> returned five days after submitting her screenplay and demonstrated her intent for a “work for hire” agreement when she signed the written instrument with </w:t>
      </w:r>
      <w:r w:rsidR="0012102D">
        <w:t>OGS</w:t>
      </w:r>
      <w:r w:rsidR="0078399E">
        <w:t xml:space="preserve"> and took her $6,000 paycheck</w:t>
      </w:r>
      <w:r w:rsidR="00353221">
        <w:t>.</w:t>
      </w:r>
      <w:r w:rsidR="00916DEF">
        <w:t xml:space="preserve"> By not enforcing this agreement, the precedent may engender </w:t>
      </w:r>
      <w:r w:rsidR="00470D91">
        <w:t>unwillingness</w:t>
      </w:r>
      <w:r w:rsidR="00916DEF">
        <w:t xml:space="preserve"> in employers to hire freelance screenwr</w:t>
      </w:r>
      <w:r w:rsidR="0012102D">
        <w:t xml:space="preserve">iters if such </w:t>
      </w:r>
      <w:r w:rsidR="00916DEF">
        <w:t>oral agreement</w:t>
      </w:r>
      <w:r w:rsidR="0012102D">
        <w:t>s do not bind writers</w:t>
      </w:r>
      <w:r w:rsidR="00916DEF">
        <w:t xml:space="preserve">. This </w:t>
      </w:r>
      <w:r w:rsidR="0012102D">
        <w:t xml:space="preserve">policy </w:t>
      </w:r>
      <w:r w:rsidR="00916DEF">
        <w:t>goes against the purpose of copyright as laid out in the Constitution. The Constitution seeks to “promote” the production of creative works.</w:t>
      </w:r>
      <w:r w:rsidR="00743123">
        <w:t xml:space="preserve"> </w:t>
      </w:r>
      <w:proofErr w:type="gramStart"/>
      <w:r w:rsidR="00743123">
        <w:t>U.S. Const. art.</w:t>
      </w:r>
      <w:proofErr w:type="gramEnd"/>
      <w:r w:rsidR="00916DEF">
        <w:t xml:space="preserve"> </w:t>
      </w:r>
      <w:bookmarkStart w:id="71" w:name="CITRUS_BOOKMARK1000000060"/>
      <w:proofErr w:type="gramStart"/>
      <w:r w:rsidR="00916DEF" w:rsidRPr="00743123">
        <w:t>§8</w:t>
      </w:r>
      <w:bookmarkEnd w:id="71"/>
      <w:r w:rsidR="00743123">
        <w:t>, c</w:t>
      </w:r>
      <w:r w:rsidR="00916DEF">
        <w:t>l. 8.</w:t>
      </w:r>
      <w:proofErr w:type="gramEnd"/>
      <w:r w:rsidR="00916DEF">
        <w:t xml:space="preserve"> Interpreting the statute by requiring a preceding written instrument </w:t>
      </w:r>
      <w:r w:rsidR="005D5026">
        <w:t>despite an oral agreement preceding</w:t>
      </w:r>
      <w:r w:rsidR="00916DEF">
        <w:t xml:space="preserve"> and a written instrument </w:t>
      </w:r>
      <w:r w:rsidR="005D5026">
        <w:t>following creation fails to promote the</w:t>
      </w:r>
      <w:r w:rsidR="004D1827">
        <w:t xml:space="preserve"> rapid</w:t>
      </w:r>
      <w:r w:rsidR="005D5026">
        <w:t xml:space="preserve"> production of creative works.</w:t>
      </w:r>
      <w:r w:rsidR="004D1827">
        <w:t xml:space="preserve"> </w:t>
      </w:r>
      <w:r w:rsidR="004D1827">
        <w:tab/>
      </w:r>
      <w:r w:rsidR="00916DEF">
        <w:t>Furthermore, it goes against the industry standards of how businesses and writers interact</w:t>
      </w:r>
      <w:r w:rsidR="005D5026">
        <w:t xml:space="preserve"> regarding specially commissioned works</w:t>
      </w:r>
      <w:r w:rsidR="00916DEF">
        <w:t>.</w:t>
      </w:r>
      <w:r w:rsidR="005D5026">
        <w:t xml:space="preserve"> </w:t>
      </w:r>
      <w:r w:rsidR="005D5026" w:rsidRPr="00FA4DB2">
        <w:t>The R</w:t>
      </w:r>
      <w:r w:rsidR="0078399E">
        <w:t>egister states that the custom involves</w:t>
      </w:r>
      <w:r w:rsidR="005D5026" w:rsidRPr="00FA4DB2">
        <w:t xml:space="preserve"> written instruments occurring prior </w:t>
      </w:r>
      <w:r w:rsidR="0078399E">
        <w:t xml:space="preserve">to </w:t>
      </w:r>
      <w:r w:rsidR="005D5026" w:rsidRPr="00FA4DB2">
        <w:t>and subsequent to creation.</w:t>
      </w:r>
      <w:r w:rsidR="00DB04E6">
        <w:t xml:space="preserve"> H.R. Rep. No. 51-374</w:t>
      </w:r>
      <w:r w:rsidR="0078399E">
        <w:t>, 89th Cong., 1</w:t>
      </w:r>
      <w:r w:rsidR="0078399E" w:rsidRPr="0078399E">
        <w:rPr>
          <w:vertAlign w:val="superscript"/>
        </w:rPr>
        <w:t>st</w:t>
      </w:r>
      <w:r w:rsidR="0078399E">
        <w:t xml:space="preserve"> Sess.,</w:t>
      </w:r>
      <w:r w:rsidR="00794BB4">
        <w:t xml:space="preserve"> </w:t>
      </w:r>
      <w:r w:rsidR="00DB04E6">
        <w:t xml:space="preserve">Part 5, </w:t>
      </w:r>
      <w:r w:rsidR="00DB04E6" w:rsidRPr="00DB04E6">
        <w:rPr>
          <w:i/>
        </w:rPr>
        <w:t>1964 Revision Bill with Discussions and Comments</w:t>
      </w:r>
      <w:r w:rsidR="00DB04E6">
        <w:t xml:space="preserve">, </w:t>
      </w:r>
      <w:r w:rsidR="00794BB4">
        <w:t>at 148 (1964)</w:t>
      </w:r>
      <w:r w:rsidR="000606AE">
        <w:t xml:space="preserve"> (</w:t>
      </w:r>
      <w:r w:rsidR="000606AE" w:rsidRPr="008403C4">
        <w:rPr>
          <w:i/>
        </w:rPr>
        <w:t>RBD</w:t>
      </w:r>
      <w:r w:rsidR="000606AE">
        <w:t>)</w:t>
      </w:r>
      <w:r w:rsidR="00794BB4">
        <w:t>.</w:t>
      </w:r>
      <w:r w:rsidR="005D5026" w:rsidRPr="00FA4DB2">
        <w:t xml:space="preserve"> The lack of a </w:t>
      </w:r>
      <w:r w:rsidR="005D5026">
        <w:t xml:space="preserve">temporal </w:t>
      </w:r>
      <w:r w:rsidR="005D5026" w:rsidRPr="00FA4DB2">
        <w:t>modifier</w:t>
      </w:r>
      <w:r w:rsidR="005D5026">
        <w:t xml:space="preserve"> for the written instrument</w:t>
      </w:r>
      <w:r w:rsidR="005D5026" w:rsidRPr="00FA4DB2">
        <w:t xml:space="preserve"> </w:t>
      </w:r>
      <w:r w:rsidR="005D5026">
        <w:t xml:space="preserve">in </w:t>
      </w:r>
      <w:bookmarkStart w:id="72" w:name="CITRUS_BOOKMARK1000000061"/>
      <w:r w:rsidR="005D5026">
        <w:t>§ 101(2)</w:t>
      </w:r>
      <w:bookmarkEnd w:id="72"/>
      <w:r w:rsidR="005D5026">
        <w:t xml:space="preserve"> </w:t>
      </w:r>
      <w:r w:rsidR="005D5026" w:rsidRPr="00FA4DB2">
        <w:t>seeks to allow custom to dictate.</w:t>
      </w:r>
      <w:r w:rsidR="005D5026">
        <w:t xml:space="preserve"> As one authority expounds:</w:t>
      </w:r>
    </w:p>
    <w:p w14:paraId="285B0788" w14:textId="77777777" w:rsidR="00916DEF" w:rsidRDefault="00916DEF" w:rsidP="00452B5B">
      <w:pPr>
        <w:widowControl/>
        <w:ind w:left="720"/>
        <w:rPr>
          <w:snapToGrid/>
          <w:szCs w:val="24"/>
        </w:rPr>
      </w:pPr>
      <w:r w:rsidRPr="00916DEF">
        <w:rPr>
          <w:snapToGrid/>
          <w:szCs w:val="24"/>
        </w:rPr>
        <w:t>The trouble, of course, is that, in the real world, publishers and editors frequently deal informally with writers, artists and photographers. The telephone, and not a “written instrument” is the means by which the assignment is made and by reason of which the work is performed. Under these circumstances, it would seem that a court should be willing to accept a retroactive recitation that the work was intended to be a work made for hire where such a work made for hire relationship was tacitly contemplated.</w:t>
      </w:r>
    </w:p>
    <w:p w14:paraId="473CB071" w14:textId="77777777" w:rsidR="00BC724B" w:rsidRPr="00916DEF" w:rsidRDefault="00BC724B" w:rsidP="00452B5B">
      <w:pPr>
        <w:widowControl/>
        <w:ind w:left="720"/>
        <w:rPr>
          <w:snapToGrid/>
          <w:szCs w:val="24"/>
        </w:rPr>
      </w:pPr>
    </w:p>
    <w:p w14:paraId="7E49B630" w14:textId="77777777" w:rsidR="00332A7D" w:rsidRDefault="00916DEF" w:rsidP="00850F16">
      <w:pPr>
        <w:widowControl/>
        <w:rPr>
          <w:snapToGrid/>
          <w:szCs w:val="24"/>
        </w:rPr>
      </w:pPr>
      <w:proofErr w:type="gramStart"/>
      <w:r w:rsidRPr="00916DEF">
        <w:rPr>
          <w:snapToGrid/>
          <w:szCs w:val="24"/>
        </w:rPr>
        <w:t xml:space="preserve">2 E. Gabriel </w:t>
      </w:r>
      <w:proofErr w:type="spellStart"/>
      <w:r w:rsidRPr="00916DEF">
        <w:rPr>
          <w:snapToGrid/>
          <w:szCs w:val="24"/>
        </w:rPr>
        <w:t>Perle</w:t>
      </w:r>
      <w:proofErr w:type="spellEnd"/>
      <w:r w:rsidRPr="00916DEF">
        <w:rPr>
          <w:snapToGrid/>
          <w:szCs w:val="24"/>
        </w:rPr>
        <w:t xml:space="preserve"> &amp; John Taylor Williams, </w:t>
      </w:r>
      <w:r w:rsidRPr="00916DEF">
        <w:rPr>
          <w:i/>
          <w:iCs/>
          <w:snapToGrid/>
          <w:szCs w:val="24"/>
        </w:rPr>
        <w:t>The Publishing Law Handbook,</w:t>
      </w:r>
      <w:r w:rsidRPr="00916DEF">
        <w:rPr>
          <w:snapToGrid/>
          <w:szCs w:val="24"/>
        </w:rPr>
        <w:t xml:space="preserve"> </w:t>
      </w:r>
      <w:bookmarkStart w:id="73" w:name="CITRUS_BOOKMARK1000000062"/>
      <w:r w:rsidRPr="00916DEF">
        <w:rPr>
          <w:snapToGrid/>
          <w:szCs w:val="24"/>
        </w:rPr>
        <w:t>§ 15.03(g)</w:t>
      </w:r>
      <w:bookmarkEnd w:id="73"/>
      <w:r w:rsidRPr="00916DEF">
        <w:rPr>
          <w:snapToGrid/>
          <w:szCs w:val="24"/>
        </w:rPr>
        <w:t>, at 15-23 (2d ed. 1992).</w:t>
      </w:r>
      <w:proofErr w:type="gramEnd"/>
    </w:p>
    <w:p w14:paraId="6CDF5927" w14:textId="77777777" w:rsidR="00850F16" w:rsidRDefault="00850F16" w:rsidP="00850F16">
      <w:pPr>
        <w:widowControl/>
        <w:rPr>
          <w:snapToGrid/>
          <w:szCs w:val="24"/>
        </w:rPr>
      </w:pPr>
    </w:p>
    <w:p w14:paraId="4F6C27FA" w14:textId="77777777" w:rsidR="00687A12" w:rsidRDefault="00687A12" w:rsidP="00850F16">
      <w:pPr>
        <w:widowControl/>
        <w:spacing w:line="480" w:lineRule="auto"/>
        <w:ind w:firstLine="720"/>
      </w:pPr>
      <w:r>
        <w:rPr>
          <w:snapToGrid/>
          <w:szCs w:val="24"/>
        </w:rPr>
        <w:t>One of the other main</w:t>
      </w:r>
      <w:r w:rsidR="004D1827">
        <w:rPr>
          <w:snapToGrid/>
          <w:szCs w:val="24"/>
        </w:rPr>
        <w:t xml:space="preserve"> policy concerns guiding the Act</w:t>
      </w:r>
      <w:r>
        <w:rPr>
          <w:snapToGrid/>
          <w:szCs w:val="24"/>
        </w:rPr>
        <w:t xml:space="preserve"> was exploitation.</w:t>
      </w:r>
      <w:r w:rsidRPr="00687A12">
        <w:t xml:space="preserve"> </w:t>
      </w:r>
      <w:proofErr w:type="gramStart"/>
      <w:r w:rsidR="000606AE" w:rsidRPr="008403C4">
        <w:rPr>
          <w:i/>
        </w:rPr>
        <w:t>RBD</w:t>
      </w:r>
      <w:r w:rsidR="000606AE">
        <w:t xml:space="preserve"> </w:t>
      </w:r>
      <w:r>
        <w:t>at 145.</w:t>
      </w:r>
      <w:proofErr w:type="gramEnd"/>
      <w:r>
        <w:rPr>
          <w:snapToGrid/>
          <w:szCs w:val="24"/>
        </w:rPr>
        <w:t xml:space="preserve"> </w:t>
      </w:r>
      <w:r w:rsidRPr="00FA4DB2">
        <w:t>One argument against inclusion of "a work prepared on special order or commission" was because some books "must be written" in this manner and some works do not make sense to include as "work for hire"; thus, the use of "expressly agree in writing" was added as a safety measure.</w:t>
      </w:r>
      <w:r>
        <w:t xml:space="preserve"> </w:t>
      </w:r>
      <w:bookmarkStart w:id="74" w:name="CITRUS_BOOKMARK1000000063"/>
      <w:r>
        <w:rPr>
          <w:i/>
        </w:rPr>
        <w:t>Id</w:t>
      </w:r>
      <w:bookmarkEnd w:id="74"/>
      <w:r>
        <w:t>.</w:t>
      </w:r>
      <w:r w:rsidRPr="00FA4DB2">
        <w:t xml:space="preserve"> </w:t>
      </w:r>
      <w:r w:rsidRPr="00FA4DB2">
        <w:lastRenderedPageBreak/>
        <w:t>Certain groups feared that even the written measure did not fix the problem because of the fear of contractual ignorance</w:t>
      </w:r>
      <w:r w:rsidR="006F5ECF">
        <w:t xml:space="preserve"> or disparity in bargaining power</w:t>
      </w:r>
      <w:r w:rsidRPr="00FA4DB2">
        <w:t>. That is not the case here</w:t>
      </w:r>
      <w:r w:rsidR="004A40A6">
        <w:t xml:space="preserve"> because of Lime’s level of</w:t>
      </w:r>
      <w:r>
        <w:t xml:space="preserve"> sophistication</w:t>
      </w:r>
      <w:r w:rsidR="004A40A6">
        <w:t>—writing</w:t>
      </w:r>
      <w:r>
        <w:t xml:space="preserve"> for</w:t>
      </w:r>
      <w:r w:rsidR="004A40A6">
        <w:t xml:space="preserve"> fifteen years in the industry—</w:t>
      </w:r>
      <w:r>
        <w:t>and the oral agreement that clearly predicated the trans</w:t>
      </w:r>
      <w:r w:rsidR="006F5ECF">
        <w:t>fer of authorship upon completion of the screenplay from Lime to OGS</w:t>
      </w:r>
      <w:r w:rsidR="006F5ECF" w:rsidRPr="006F5ECF">
        <w:t xml:space="preserve"> </w:t>
      </w:r>
      <w:r w:rsidR="006F5ECF">
        <w:t>for $6,000</w:t>
      </w:r>
      <w:r w:rsidRPr="00FA4DB2">
        <w:t xml:space="preserve">. </w:t>
      </w:r>
    </w:p>
    <w:p w14:paraId="03467093" w14:textId="77777777" w:rsidR="008403C4" w:rsidRPr="00816AA8" w:rsidRDefault="00736668" w:rsidP="00816AA8">
      <w:pPr>
        <w:widowControl/>
        <w:spacing w:line="480" w:lineRule="auto"/>
        <w:ind w:firstLine="720"/>
      </w:pPr>
      <w:r w:rsidRPr="00736668">
        <w:t>In addition, fear of unequal bargain power did not affect the agreement because Lime</w:t>
      </w:r>
      <w:r>
        <w:t xml:space="preserve"> did not rely on OGS's business</w:t>
      </w:r>
      <w:r w:rsidR="00687A12" w:rsidRPr="00FA4DB2">
        <w:t xml:space="preserve">. </w:t>
      </w:r>
      <w:r w:rsidR="006F5ECF">
        <w:t>OGS contacted Lime</w:t>
      </w:r>
      <w:r>
        <w:t>, and Lime never previously worked with OGS on this television series</w:t>
      </w:r>
      <w:r w:rsidR="006F5ECF">
        <w:t>. Lime</w:t>
      </w:r>
      <w:r w:rsidR="00687A12" w:rsidRPr="00FA4DB2">
        <w:t xml:space="preserve"> did not submit a</w:t>
      </w:r>
      <w:r w:rsidR="006F5ECF">
        <w:t xml:space="preserve">nd consent because of pressure. </w:t>
      </w:r>
      <w:r w:rsidR="00AD409A">
        <w:t>Lime</w:t>
      </w:r>
      <w:r w:rsidR="00687A12" w:rsidRPr="00FA4DB2">
        <w:t xml:space="preserve"> knows the value of her work</w:t>
      </w:r>
      <w:r w:rsidR="00AD409A">
        <w:t xml:space="preserve"> from years in the business</w:t>
      </w:r>
      <w:r w:rsidR="00687A12" w:rsidRPr="00FA4DB2">
        <w:t>, and she ch</w:t>
      </w:r>
      <w:r w:rsidR="006F5ECF">
        <w:t>ose to sell it.</w:t>
      </w:r>
      <w:r w:rsidR="00816AA8">
        <w:t xml:space="preserve"> </w:t>
      </w:r>
      <w:r w:rsidR="006F5ECF">
        <w:t>OGS</w:t>
      </w:r>
      <w:r w:rsidR="00AD409A">
        <w:t xml:space="preserve"> </w:t>
      </w:r>
      <w:r w:rsidR="00687A12" w:rsidRPr="00FA4DB2">
        <w:t>stated</w:t>
      </w:r>
      <w:r w:rsidR="00AD409A">
        <w:t xml:space="preserve"> upfront</w:t>
      </w:r>
      <w:r w:rsidR="00687A12" w:rsidRPr="00FA4DB2">
        <w:t xml:space="preserve"> to</w:t>
      </w:r>
      <w:r w:rsidR="00AD409A">
        <w:t xml:space="preserve"> </w:t>
      </w:r>
      <w:r w:rsidR="00687A12" w:rsidRPr="00FA4DB2">
        <w:t>Lime that the contract would be a “work made for hire” agreement. Lime has worked in the business for many years, so contractual ignorance lacks grounds here.</w:t>
      </w:r>
      <w:r w:rsidR="00FC3895">
        <w:t xml:space="preserve"> </w:t>
      </w:r>
      <w:r w:rsidR="00AD409A">
        <w:t>Lime’s experience also deals with t</w:t>
      </w:r>
      <w:r w:rsidR="00AD409A" w:rsidRPr="00FA4DB2">
        <w:t>he</w:t>
      </w:r>
      <w:r w:rsidR="00AD409A">
        <w:t xml:space="preserve"> Drafters’</w:t>
      </w:r>
      <w:r w:rsidR="00AD409A" w:rsidRPr="00FA4DB2">
        <w:t xml:space="preserve"> fear</w:t>
      </w:r>
      <w:r w:rsidR="00AD409A">
        <w:t>s that</w:t>
      </w:r>
      <w:r w:rsidR="00AD409A" w:rsidRPr="00FA4DB2">
        <w:t xml:space="preserve"> </w:t>
      </w:r>
      <w:r w:rsidR="00AD409A">
        <w:t>creators will not read</w:t>
      </w:r>
      <w:r w:rsidR="00AD409A" w:rsidRPr="00FA4DB2">
        <w:t xml:space="preserve"> the</w:t>
      </w:r>
      <w:r w:rsidR="00AD409A">
        <w:t>ir</w:t>
      </w:r>
      <w:r w:rsidR="00AD409A" w:rsidRPr="00FA4DB2">
        <w:t xml:space="preserve"> contract</w:t>
      </w:r>
      <w:r w:rsidR="00AD409A">
        <w:t xml:space="preserve"> and sign away their rights.</w:t>
      </w:r>
      <w:r w:rsidR="00AD409A" w:rsidRPr="00AD409A">
        <w:t xml:space="preserve"> </w:t>
      </w:r>
      <w:r w:rsidR="00AD409A">
        <w:rPr>
          <w:i/>
        </w:rPr>
        <w:t xml:space="preserve">See </w:t>
      </w:r>
      <w:r w:rsidR="000606AE">
        <w:t>RBD</w:t>
      </w:r>
      <w:r w:rsidR="00AD409A">
        <w:t xml:space="preserve"> at 147. This concern</w:t>
      </w:r>
      <w:r w:rsidR="00AD409A" w:rsidRPr="00FA4DB2">
        <w:t xml:space="preserve"> is</w:t>
      </w:r>
      <w:r w:rsidR="00AD409A">
        <w:t xml:space="preserve"> also</w:t>
      </w:r>
      <w:r w:rsidR="00AD409A" w:rsidRPr="00FA4DB2">
        <w:t xml:space="preserve"> addressed because the contract lacked the density and complexity by entitling itself with its purpose: “Work-Made-Fo</w:t>
      </w:r>
      <w:r w:rsidR="000606AE">
        <w:t>r-Hire Agreement.” The oral agre</w:t>
      </w:r>
      <w:r w:rsidR="00816AA8">
        <w:t xml:space="preserve">ement </w:t>
      </w:r>
      <w:r w:rsidR="00AD409A" w:rsidRPr="00FA4DB2">
        <w:t>for</w:t>
      </w:r>
      <w:r w:rsidR="00816AA8">
        <w:t>ewarned</w:t>
      </w:r>
      <w:r w:rsidR="00AD409A" w:rsidRPr="00FA4DB2">
        <w:t xml:space="preserve"> Lime</w:t>
      </w:r>
      <w:r w:rsidR="00816AA8">
        <w:t xml:space="preserve"> of the conditions of her contract</w:t>
      </w:r>
      <w:r w:rsidR="00AD409A" w:rsidRPr="00FA4DB2">
        <w:t>,</w:t>
      </w:r>
      <w:r w:rsidR="00AD409A">
        <w:t xml:space="preserve"> s</w:t>
      </w:r>
      <w:r w:rsidR="00816AA8">
        <w:t>o she was not at a disadvantage</w:t>
      </w:r>
      <w:r w:rsidR="00AD409A">
        <w:t xml:space="preserve">. </w:t>
      </w:r>
      <w:r w:rsidR="0078399E">
        <w:rPr>
          <w:snapToGrid/>
          <w:szCs w:val="24"/>
        </w:rPr>
        <w:t xml:space="preserve">These policy reasons </w:t>
      </w:r>
      <w:r w:rsidR="006C5789">
        <w:rPr>
          <w:snapToGrid/>
          <w:szCs w:val="24"/>
        </w:rPr>
        <w:t xml:space="preserve">promote an </w:t>
      </w:r>
      <w:r w:rsidR="0078399E">
        <w:rPr>
          <w:snapToGrid/>
          <w:szCs w:val="24"/>
        </w:rPr>
        <w:t>interpret</w:t>
      </w:r>
      <w:r w:rsidR="006C5789">
        <w:rPr>
          <w:snapToGrid/>
          <w:szCs w:val="24"/>
        </w:rPr>
        <w:t>ation of</w:t>
      </w:r>
      <w:r w:rsidR="0078399E">
        <w:rPr>
          <w:snapToGrid/>
          <w:szCs w:val="24"/>
        </w:rPr>
        <w:t xml:space="preserve"> </w:t>
      </w:r>
      <w:bookmarkStart w:id="75" w:name="CITRUS_BOOKMARK1000000064"/>
      <w:r w:rsidR="0078399E">
        <w:rPr>
          <w:snapToGrid/>
          <w:szCs w:val="24"/>
        </w:rPr>
        <w:t>§ 101(2)</w:t>
      </w:r>
      <w:bookmarkEnd w:id="75"/>
      <w:r w:rsidR="0078399E">
        <w:rPr>
          <w:snapToGrid/>
          <w:szCs w:val="24"/>
        </w:rPr>
        <w:t xml:space="preserve"> as allowing a subsequent written instrument.</w:t>
      </w:r>
    </w:p>
    <w:p w14:paraId="40596735" w14:textId="77777777" w:rsidR="00DA6748" w:rsidRPr="008403C4" w:rsidRDefault="0090088C" w:rsidP="00736668">
      <w:pPr>
        <w:pStyle w:val="ListParagraph"/>
        <w:widowControl/>
        <w:numPr>
          <w:ilvl w:val="0"/>
          <w:numId w:val="14"/>
        </w:numPr>
        <w:spacing w:line="480" w:lineRule="auto"/>
        <w:rPr>
          <w:snapToGrid/>
          <w:szCs w:val="24"/>
        </w:rPr>
      </w:pPr>
      <w:r w:rsidRPr="008403C4">
        <w:rPr>
          <w:b/>
          <w:szCs w:val="24"/>
        </w:rPr>
        <w:t>The Legislative History</w:t>
      </w:r>
      <w:r w:rsidR="00F0311F">
        <w:rPr>
          <w:b/>
          <w:szCs w:val="24"/>
        </w:rPr>
        <w:t xml:space="preserve"> Reinforces the Interpretation that </w:t>
      </w:r>
      <w:bookmarkStart w:id="76" w:name="CITRUS_BOOKMARK1000000065"/>
      <w:r w:rsidR="00F0311F">
        <w:rPr>
          <w:b/>
          <w:szCs w:val="24"/>
        </w:rPr>
        <w:t>§ 101(2)</w:t>
      </w:r>
      <w:bookmarkEnd w:id="76"/>
      <w:r w:rsidR="00F0311F">
        <w:rPr>
          <w:b/>
          <w:szCs w:val="24"/>
        </w:rPr>
        <w:t xml:space="preserve"> Allows for a Subsequent Written Instrument to Create a Valid “Work for Hire Agreement”</w:t>
      </w:r>
    </w:p>
    <w:p w14:paraId="40D931C0" w14:textId="77777777" w:rsidR="00F250FA" w:rsidRDefault="0059130E" w:rsidP="00370215">
      <w:pPr>
        <w:spacing w:line="480" w:lineRule="auto"/>
        <w:ind w:firstLine="720"/>
      </w:pPr>
      <w:r>
        <w:t>To help determine the meaning of a statute, a court looks to the legislative history after examining the plain language of the text</w:t>
      </w:r>
      <w:r>
        <w:rPr>
          <w:snapToGrid/>
          <w:szCs w:val="24"/>
        </w:rPr>
        <w:t>.</w:t>
      </w:r>
      <w:r w:rsidR="00F250FA">
        <w:rPr>
          <w:snapToGrid/>
          <w:szCs w:val="24"/>
        </w:rPr>
        <w:t xml:space="preserve"> </w:t>
      </w:r>
      <w:bookmarkStart w:id="77" w:name="CITRUS_BOOKMARK66"/>
      <w:proofErr w:type="gramStart"/>
      <w:r w:rsidR="00F250FA" w:rsidRPr="000D602A">
        <w:rPr>
          <w:i/>
          <w:snapToGrid/>
          <w:szCs w:val="24"/>
        </w:rPr>
        <w:t xml:space="preserve">Blum v. </w:t>
      </w:r>
      <w:proofErr w:type="spellStart"/>
      <w:r w:rsidR="00F250FA" w:rsidRPr="000D602A">
        <w:rPr>
          <w:i/>
          <w:snapToGrid/>
          <w:szCs w:val="24"/>
        </w:rPr>
        <w:t>Stenson</w:t>
      </w:r>
      <w:proofErr w:type="spellEnd"/>
      <w:r w:rsidR="00F250FA" w:rsidRPr="00A45D89">
        <w:rPr>
          <w:snapToGrid/>
          <w:szCs w:val="24"/>
        </w:rPr>
        <w:t>, 465 U.S. 886, 896 (1984)</w:t>
      </w:r>
      <w:bookmarkEnd w:id="77"/>
      <w:r w:rsidR="00F250FA">
        <w:rPr>
          <w:snapToGrid/>
          <w:szCs w:val="24"/>
        </w:rPr>
        <w:t>.</w:t>
      </w:r>
      <w:proofErr w:type="gramEnd"/>
      <w:r w:rsidR="00F250FA">
        <w:rPr>
          <w:snapToGrid/>
          <w:szCs w:val="24"/>
        </w:rPr>
        <w:t xml:space="preserve"> </w:t>
      </w:r>
      <w:r w:rsidR="00E60820">
        <w:t xml:space="preserve">The legislative history of the </w:t>
      </w:r>
      <w:r w:rsidR="00721644">
        <w:t>Act</w:t>
      </w:r>
      <w:r w:rsidR="00A45D89">
        <w:t xml:space="preserve"> shows over forty years </w:t>
      </w:r>
      <w:r w:rsidR="00E60820">
        <w:t xml:space="preserve">of </w:t>
      </w:r>
      <w:bookmarkStart w:id="78" w:name="CITRUS_BOOKMARK1000000067"/>
      <w:r w:rsidR="00E60820">
        <w:t>§ 101(2)</w:t>
      </w:r>
      <w:bookmarkEnd w:id="78"/>
      <w:r w:rsidR="00E60820">
        <w:t xml:space="preserve"> </w:t>
      </w:r>
      <w:r w:rsidR="00633C1D">
        <w:t xml:space="preserve">and § 201(b) </w:t>
      </w:r>
      <w:r w:rsidR="00E60820">
        <w:t>not delineating whether the written instrument need occ</w:t>
      </w:r>
      <w:r w:rsidR="00F250FA">
        <w:t>ur prior to or subsequent to a work’s creation</w:t>
      </w:r>
      <w:r w:rsidR="00E60820">
        <w:t xml:space="preserve">. </w:t>
      </w:r>
      <w:r w:rsidR="00F250FA">
        <w:t>The U.S. Copyright Office representative</w:t>
      </w:r>
      <w:r w:rsidR="00603801">
        <w:t>, Ringer,</w:t>
      </w:r>
      <w:r w:rsidR="00E60820" w:rsidRPr="00FA4DB2">
        <w:t xml:space="preserve"> </w:t>
      </w:r>
      <w:r w:rsidR="00F250FA">
        <w:t>stated in the legislative history that</w:t>
      </w:r>
      <w:r w:rsidR="00E60820" w:rsidRPr="00FA4DB2">
        <w:t xml:space="preserve"> "[</w:t>
      </w:r>
      <w:proofErr w:type="spellStart"/>
      <w:r w:rsidR="00E60820" w:rsidRPr="00FA4DB2">
        <w:t>i</w:t>
      </w:r>
      <w:proofErr w:type="spellEnd"/>
      <w:r w:rsidR="00E60820" w:rsidRPr="00FA4DB2">
        <w:t>]</w:t>
      </w:r>
      <w:r w:rsidR="00F250FA">
        <w:t xml:space="preserve">t would not be a </w:t>
      </w:r>
      <w:r w:rsidR="00F250FA">
        <w:lastRenderedPageBreak/>
        <w:t>‘work for hire’</w:t>
      </w:r>
      <w:r w:rsidR="00E60820" w:rsidRPr="00FA4DB2">
        <w:t xml:space="preserve"> if the contract were signed later on--after the work was written." This comment</w:t>
      </w:r>
      <w:r w:rsidR="00F250FA">
        <w:t xml:space="preserve"> does not clear</w:t>
      </w:r>
      <w:r w:rsidR="00603801">
        <w:t>ly</w:t>
      </w:r>
      <w:r w:rsidR="00F250FA">
        <w:t xml:space="preserve"> address</w:t>
      </w:r>
      <w:r w:rsidR="00E60820" w:rsidRPr="00FA4DB2">
        <w:t xml:space="preserve"> when the writing requirement </w:t>
      </w:r>
      <w:r w:rsidR="00E60820" w:rsidRPr="00885E6E">
        <w:rPr>
          <w:i/>
        </w:rPr>
        <w:t>need</w:t>
      </w:r>
      <w:r w:rsidR="00E60820" w:rsidRPr="00FA4DB2">
        <w:t xml:space="preserve"> occur necessarily, so much as the function of the writing requirement. The writing requirement exists to notify the original creator that he </w:t>
      </w:r>
      <w:r w:rsidR="00F250FA">
        <w:t xml:space="preserve">is selling his authorship away. The conversation prior to the </w:t>
      </w:r>
      <w:r w:rsidR="00603801">
        <w:t>Ringer</w:t>
      </w:r>
      <w:r w:rsidR="00F250FA">
        <w:t xml:space="preserve">’s statement lends credence to this view. </w:t>
      </w:r>
      <w:r w:rsidR="00885E6E">
        <w:t>Therefore, a subsequent writing should validly create a “work for hire” agreement.</w:t>
      </w:r>
    </w:p>
    <w:p w14:paraId="675666E4" w14:textId="77777777" w:rsidR="00DB045E" w:rsidRPr="008403C4" w:rsidRDefault="00D059A6" w:rsidP="00D059A6">
      <w:pPr>
        <w:spacing w:line="480" w:lineRule="auto"/>
        <w:ind w:firstLine="360"/>
        <w:rPr>
          <w:snapToGrid/>
          <w:szCs w:val="24"/>
        </w:rPr>
      </w:pPr>
      <w:r>
        <w:t>More importantly, t</w:t>
      </w:r>
      <w:r w:rsidR="00F250FA">
        <w:t>he absence of a</w:t>
      </w:r>
      <w:r w:rsidR="00721644">
        <w:t>n</w:t>
      </w:r>
      <w:r>
        <w:t>y</w:t>
      </w:r>
      <w:r w:rsidR="00721644">
        <w:t xml:space="preserve"> explicitly stated</w:t>
      </w:r>
      <w:r w:rsidR="00F250FA">
        <w:t xml:space="preserve"> temporal </w:t>
      </w:r>
      <w:r w:rsidR="00721644">
        <w:t>restriction</w:t>
      </w:r>
      <w:r w:rsidR="00633C1D">
        <w:t>s</w:t>
      </w:r>
      <w:r w:rsidR="00F250FA">
        <w:t xml:space="preserve"> in </w:t>
      </w:r>
      <w:bookmarkStart w:id="79" w:name="CITRUS_BOOKMARK1000000068"/>
      <w:r w:rsidR="00F250FA">
        <w:t>§ 101(2)</w:t>
      </w:r>
      <w:bookmarkEnd w:id="79"/>
      <w:r w:rsidR="00F250FA">
        <w:t xml:space="preserve"> </w:t>
      </w:r>
      <w:r w:rsidR="00633C1D">
        <w:t xml:space="preserve">and § 201(b), </w:t>
      </w:r>
      <w:r w:rsidR="00F250FA">
        <w:t>wh</w:t>
      </w:r>
      <w:r w:rsidR="00633C1D">
        <w:t xml:space="preserve">en temporal restrictions appear </w:t>
      </w:r>
      <w:r w:rsidR="00F250FA">
        <w:t>in other section</w:t>
      </w:r>
      <w:r w:rsidR="00885E6E">
        <w:t>s</w:t>
      </w:r>
      <w:r w:rsidR="00F250FA">
        <w:t xml:space="preserve"> of the </w:t>
      </w:r>
      <w:r w:rsidR="00721644">
        <w:t>Act</w:t>
      </w:r>
      <w:r w:rsidR="00633C1D">
        <w:t>,</w:t>
      </w:r>
      <w:r w:rsidR="00F250FA">
        <w:t xml:space="preserve"> demonstrates that the representative</w:t>
      </w:r>
      <w:r w:rsidR="00885E6E">
        <w:t>’</w:t>
      </w:r>
      <w:r w:rsidR="00F250FA">
        <w:t xml:space="preserve">s comments failed to impact </w:t>
      </w:r>
      <w:bookmarkStart w:id="80" w:name="CITRUS_BOOKMARK1000000069"/>
      <w:r w:rsidR="00F250FA">
        <w:t>§ 101(2)</w:t>
      </w:r>
      <w:bookmarkEnd w:id="80"/>
      <w:r w:rsidR="00633C1D">
        <w:t xml:space="preserve"> regarding a temporal restriction</w:t>
      </w:r>
      <w:r w:rsidR="00F250FA">
        <w:t xml:space="preserve"> of the written agreement.</w:t>
      </w:r>
      <w:r w:rsidR="00885E6E">
        <w:t xml:space="preserve"> The continued refusal by Con</w:t>
      </w:r>
      <w:r w:rsidR="00633C1D">
        <w:t>gress to add this temporal restriction</w:t>
      </w:r>
      <w:r w:rsidR="00885E6E">
        <w:t xml:space="preserve"> to </w:t>
      </w:r>
      <w:bookmarkStart w:id="81" w:name="CITRUS_BOOKMARK1000000070"/>
      <w:r w:rsidR="00885E6E">
        <w:t>§ 101(2)</w:t>
      </w:r>
      <w:bookmarkEnd w:id="81"/>
      <w:r w:rsidR="00885E6E">
        <w:t xml:space="preserve"> appears in the many attempts to amend </w:t>
      </w:r>
      <w:bookmarkStart w:id="82" w:name="CITRUS_BOOKMARK1000000071"/>
      <w:r w:rsidR="00885E6E">
        <w:t>§ 101(2)</w:t>
      </w:r>
      <w:bookmarkEnd w:id="82"/>
      <w:r w:rsidR="00885E6E">
        <w:t xml:space="preserve"> to require that the written instrument precede creation of a work.</w:t>
      </w:r>
      <w:r w:rsidR="008F55A6">
        <w:t xml:space="preserve"> </w:t>
      </w:r>
      <w:r w:rsidR="008F55A6" w:rsidRPr="0078399E">
        <w:rPr>
          <w:snapToGrid/>
          <w:szCs w:val="24"/>
        </w:rPr>
        <w:t>Senator Cochran unsuccessfully introduced such legislation in 1982, 1983, 1986, 1987</w:t>
      </w:r>
      <w:r w:rsidR="00633C1D">
        <w:rPr>
          <w:snapToGrid/>
          <w:szCs w:val="24"/>
        </w:rPr>
        <w:t>,</w:t>
      </w:r>
      <w:r w:rsidR="008F55A6" w:rsidRPr="0078399E">
        <w:rPr>
          <w:snapToGrid/>
          <w:szCs w:val="24"/>
        </w:rPr>
        <w:t xml:space="preserve"> and 1989. </w:t>
      </w:r>
      <w:r w:rsidR="008F55A6" w:rsidRPr="0078399E">
        <w:rPr>
          <w:i/>
          <w:iCs/>
          <w:snapToGrid/>
          <w:szCs w:val="24"/>
        </w:rPr>
        <w:t>See</w:t>
      </w:r>
      <w:r w:rsidR="008F55A6" w:rsidRPr="0078399E">
        <w:rPr>
          <w:snapToGrid/>
          <w:szCs w:val="24"/>
        </w:rPr>
        <w:t xml:space="preserve"> S. 2044, 97th Cong., 2d Sess. (1982); S. 2138, 98th Cong., 1st Sess. (1983); S. 2330, 99th Cong., 2d Sess. (1986); S. 1253, 101st Cong., 1st Sess. (1989). </w:t>
      </w:r>
      <w:r w:rsidR="008F55A6">
        <w:rPr>
          <w:snapToGrid/>
          <w:szCs w:val="24"/>
        </w:rPr>
        <w:t>The proposed legislation</w:t>
      </w:r>
      <w:r w:rsidR="008F55A6" w:rsidRPr="0078399E">
        <w:rPr>
          <w:snapToGrid/>
          <w:szCs w:val="24"/>
        </w:rPr>
        <w:t>, which provoked substantial opposi</w:t>
      </w:r>
      <w:r w:rsidR="008F55A6">
        <w:rPr>
          <w:snapToGrid/>
          <w:szCs w:val="24"/>
        </w:rPr>
        <w:t>tion</w:t>
      </w:r>
      <w:r w:rsidR="008F55A6" w:rsidRPr="0078399E">
        <w:rPr>
          <w:snapToGrid/>
          <w:szCs w:val="24"/>
        </w:rPr>
        <w:t>,</w:t>
      </w:r>
      <w:r w:rsidR="008F55A6">
        <w:rPr>
          <w:snapToGrid/>
          <w:szCs w:val="24"/>
        </w:rPr>
        <w:t xml:space="preserve"> sought to place the written instrument </w:t>
      </w:r>
      <w:r w:rsidR="00530263">
        <w:rPr>
          <w:snapToGrid/>
          <w:szCs w:val="24"/>
        </w:rPr>
        <w:t>prior to starting the work.</w:t>
      </w:r>
      <w:r w:rsidR="008F55A6" w:rsidRPr="0078399E">
        <w:rPr>
          <w:snapToGrid/>
          <w:szCs w:val="24"/>
        </w:rPr>
        <w:t xml:space="preserve"> </w:t>
      </w:r>
      <w:r w:rsidR="008F55A6">
        <w:rPr>
          <w:snapToGrid/>
          <w:szCs w:val="24"/>
        </w:rPr>
        <w:t xml:space="preserve">This failed legislation acts as persuasive evidence that </w:t>
      </w:r>
      <w:bookmarkStart w:id="83" w:name="CITRUS_BOOKMARK1000000073"/>
      <w:r w:rsidR="008F55A6">
        <w:rPr>
          <w:snapToGrid/>
          <w:szCs w:val="24"/>
        </w:rPr>
        <w:t>§ 101(2)</w:t>
      </w:r>
      <w:bookmarkEnd w:id="83"/>
      <w:r>
        <w:rPr>
          <w:snapToGrid/>
          <w:szCs w:val="24"/>
        </w:rPr>
        <w:t xml:space="preserve"> permit</w:t>
      </w:r>
      <w:r w:rsidR="008F55A6">
        <w:rPr>
          <w:snapToGrid/>
          <w:szCs w:val="24"/>
        </w:rPr>
        <w:t xml:space="preserve"> subsequent written instruments. </w:t>
      </w:r>
      <w:bookmarkStart w:id="84" w:name="CITRUS_BOOKMARK74"/>
      <w:r w:rsidR="008F55A6" w:rsidRPr="000D602A">
        <w:rPr>
          <w:i/>
          <w:iCs/>
          <w:snapToGrid/>
          <w:szCs w:val="24"/>
        </w:rPr>
        <w:t>See</w:t>
      </w:r>
      <w:r w:rsidR="008F55A6" w:rsidRPr="000D602A">
        <w:rPr>
          <w:iCs/>
          <w:snapToGrid/>
          <w:szCs w:val="24"/>
        </w:rPr>
        <w:t xml:space="preserve"> </w:t>
      </w:r>
      <w:r w:rsidR="008F55A6" w:rsidRPr="000D602A">
        <w:rPr>
          <w:i/>
          <w:iCs/>
          <w:snapToGrid/>
          <w:szCs w:val="24"/>
        </w:rPr>
        <w:t>Monessen S</w:t>
      </w:r>
      <w:r w:rsidR="00081E01" w:rsidRPr="000D602A">
        <w:rPr>
          <w:i/>
          <w:iCs/>
          <w:snapToGrid/>
          <w:szCs w:val="24"/>
        </w:rPr>
        <w:t>w. R.R. v. Morgan</w:t>
      </w:r>
      <w:r w:rsidR="00081E01">
        <w:rPr>
          <w:iCs/>
          <w:snapToGrid/>
          <w:szCs w:val="24"/>
        </w:rPr>
        <w:t>, 486 U.S. 330, 339 n.8 (1988)</w:t>
      </w:r>
      <w:bookmarkEnd w:id="84"/>
      <w:r w:rsidR="008F55A6" w:rsidRPr="0078399E">
        <w:rPr>
          <w:snapToGrid/>
          <w:szCs w:val="24"/>
        </w:rPr>
        <w:t xml:space="preserve">; </w:t>
      </w:r>
      <w:bookmarkStart w:id="85" w:name="CITRUS_BOOKMARK75"/>
      <w:r w:rsidR="008F55A6" w:rsidRPr="000D602A">
        <w:rPr>
          <w:i/>
          <w:iCs/>
          <w:snapToGrid/>
          <w:szCs w:val="24"/>
        </w:rPr>
        <w:t>Blue Chip Stamps v. Manor Drug Stores</w:t>
      </w:r>
      <w:r w:rsidR="008F55A6" w:rsidRPr="00081E01">
        <w:rPr>
          <w:iCs/>
          <w:snapToGrid/>
          <w:szCs w:val="24"/>
        </w:rPr>
        <w:t>,</w:t>
      </w:r>
      <w:r w:rsidR="008F55A6" w:rsidRPr="00081E01">
        <w:rPr>
          <w:snapToGrid/>
          <w:szCs w:val="24"/>
        </w:rPr>
        <w:t xml:space="preserve"> 421 U.S. 723, 732 (1975)</w:t>
      </w:r>
      <w:bookmarkEnd w:id="85"/>
      <w:r w:rsidR="008F55A6" w:rsidRPr="0078399E">
        <w:rPr>
          <w:snapToGrid/>
          <w:szCs w:val="24"/>
        </w:rPr>
        <w:t>.</w:t>
      </w:r>
      <w:r w:rsidR="008403C4">
        <w:rPr>
          <w:snapToGrid/>
          <w:szCs w:val="24"/>
        </w:rPr>
        <w:t xml:space="preserve"> </w:t>
      </w:r>
      <w:r w:rsidR="00060AF1">
        <w:t xml:space="preserve">Proponents of the legislation sought to add the prior writing requirement because </w:t>
      </w:r>
      <w:r w:rsidR="00060AF1">
        <w:rPr>
          <w:i/>
        </w:rPr>
        <w:t>the norm</w:t>
      </w:r>
      <w:r w:rsidR="008403C4">
        <w:t xml:space="preserve"> </w:t>
      </w:r>
      <w:r w:rsidR="00060AF1">
        <w:t xml:space="preserve">in the publishing industry allowed written subsequent written agreements under </w:t>
      </w:r>
      <w:bookmarkStart w:id="86" w:name="CITRUS_BOOKMARK1000000113"/>
      <w:r w:rsidR="00060AF1">
        <w:t>§ 101(2)</w:t>
      </w:r>
      <w:bookmarkEnd w:id="86"/>
      <w:r w:rsidR="00060AF1">
        <w:t xml:space="preserve"> as enacted in 1976. The preceding facts discount</w:t>
      </w:r>
      <w:r w:rsidR="00603801">
        <w:t xml:space="preserve"> Ringer’s one sentence casually thrown into the legislative history because </w:t>
      </w:r>
      <w:r w:rsidR="008403C4">
        <w:t>“</w:t>
      </w:r>
      <w:r w:rsidR="00603801">
        <w:rPr>
          <w:snapToGrid/>
          <w:szCs w:val="24"/>
        </w:rPr>
        <w:t>[l]</w:t>
      </w:r>
      <w:proofErr w:type="spellStart"/>
      <w:r w:rsidR="008403C4" w:rsidRPr="008403C4">
        <w:rPr>
          <w:snapToGrid/>
          <w:szCs w:val="24"/>
        </w:rPr>
        <w:t>egislative</w:t>
      </w:r>
      <w:proofErr w:type="spellEnd"/>
      <w:r w:rsidR="008403C4" w:rsidRPr="008403C4">
        <w:rPr>
          <w:snapToGrid/>
          <w:szCs w:val="24"/>
        </w:rPr>
        <w:t xml:space="preserve"> history, for those who take it into account, is meant to clear up ambiguity, not create it.</w:t>
      </w:r>
      <w:r w:rsidR="008403C4">
        <w:rPr>
          <w:snapToGrid/>
          <w:szCs w:val="24"/>
        </w:rPr>
        <w:t xml:space="preserve">” </w:t>
      </w:r>
      <w:bookmarkStart w:id="87" w:name="CITRUS_BOOKMARK1000000076"/>
      <w:proofErr w:type="gramStart"/>
      <w:r w:rsidR="008403C4" w:rsidRPr="008403C4">
        <w:rPr>
          <w:i/>
          <w:snapToGrid/>
          <w:szCs w:val="24"/>
        </w:rPr>
        <w:t>Milner v. Dep't of Navy</w:t>
      </w:r>
      <w:r w:rsidR="008403C4">
        <w:rPr>
          <w:snapToGrid/>
          <w:szCs w:val="24"/>
        </w:rPr>
        <w:t>, 131 U.S. 1259, 1267</w:t>
      </w:r>
      <w:r w:rsidR="008403C4" w:rsidRPr="008403C4">
        <w:rPr>
          <w:snapToGrid/>
          <w:szCs w:val="24"/>
        </w:rPr>
        <w:t xml:space="preserve"> (2011)</w:t>
      </w:r>
      <w:bookmarkEnd w:id="87"/>
      <w:r w:rsidR="00603801">
        <w:rPr>
          <w:snapToGrid/>
          <w:szCs w:val="24"/>
        </w:rPr>
        <w:t>.</w:t>
      </w:r>
      <w:proofErr w:type="gramEnd"/>
      <w:r w:rsidR="00603801">
        <w:rPr>
          <w:snapToGrid/>
          <w:szCs w:val="24"/>
        </w:rPr>
        <w:t xml:space="preserve"> Ringer’s statement creates </w:t>
      </w:r>
      <w:r w:rsidR="00603801">
        <w:rPr>
          <w:snapToGrid/>
          <w:szCs w:val="24"/>
        </w:rPr>
        <w:lastRenderedPageBreak/>
        <w:t>ambiguity because it is not qu</w:t>
      </w:r>
      <w:r w:rsidR="00530263">
        <w:rPr>
          <w:snapToGrid/>
          <w:szCs w:val="24"/>
        </w:rPr>
        <w:t>alified beyond the one sentence. I</w:t>
      </w:r>
      <w:r w:rsidR="00603801">
        <w:rPr>
          <w:snapToGrid/>
          <w:szCs w:val="24"/>
        </w:rPr>
        <w:t>t carries no weight beyond wha</w:t>
      </w:r>
      <w:r w:rsidR="00530263">
        <w:rPr>
          <w:snapToGrid/>
          <w:szCs w:val="24"/>
        </w:rPr>
        <w:t>t the court chooses to give it</w:t>
      </w:r>
      <w:r w:rsidR="00603801">
        <w:rPr>
          <w:snapToGrid/>
          <w:szCs w:val="24"/>
        </w:rPr>
        <w:t xml:space="preserve">, if </w:t>
      </w:r>
      <w:r w:rsidR="00060AF1">
        <w:rPr>
          <w:snapToGrid/>
          <w:szCs w:val="24"/>
        </w:rPr>
        <w:t>the court</w:t>
      </w:r>
      <w:r w:rsidR="00530263">
        <w:rPr>
          <w:snapToGrid/>
          <w:szCs w:val="24"/>
        </w:rPr>
        <w:t xml:space="preserve"> </w:t>
      </w:r>
      <w:r w:rsidR="00060AF1">
        <w:rPr>
          <w:snapToGrid/>
          <w:szCs w:val="24"/>
        </w:rPr>
        <w:t>considers it</w:t>
      </w:r>
      <w:r w:rsidR="00530263">
        <w:rPr>
          <w:snapToGrid/>
          <w:szCs w:val="24"/>
        </w:rPr>
        <w:t xml:space="preserve"> at all. Furthermore, her</w:t>
      </w:r>
      <w:r w:rsidR="00603801">
        <w:rPr>
          <w:snapToGrid/>
          <w:szCs w:val="24"/>
        </w:rPr>
        <w:t xml:space="preserve"> statement, despite attempts by actual legislators, never found its way into the plain language of </w:t>
      </w:r>
      <w:bookmarkStart w:id="88" w:name="CITRUS_BOOKMARK1000000077"/>
      <w:r w:rsidR="00603801">
        <w:rPr>
          <w:snapToGrid/>
          <w:szCs w:val="24"/>
        </w:rPr>
        <w:t>§ 101(2)</w:t>
      </w:r>
      <w:bookmarkEnd w:id="88"/>
      <w:r w:rsidR="00530263">
        <w:rPr>
          <w:snapToGrid/>
          <w:szCs w:val="24"/>
        </w:rPr>
        <w:t xml:space="preserve"> or </w:t>
      </w:r>
      <w:bookmarkStart w:id="89" w:name="CITRUS_BOOKMARK1000000114"/>
      <w:r w:rsidR="00530263">
        <w:rPr>
          <w:snapToGrid/>
          <w:szCs w:val="24"/>
        </w:rPr>
        <w:t>§ 201(b)</w:t>
      </w:r>
      <w:bookmarkEnd w:id="89"/>
      <w:r w:rsidR="00603801">
        <w:rPr>
          <w:snapToGrid/>
          <w:szCs w:val="24"/>
        </w:rPr>
        <w:t xml:space="preserve">. The </w:t>
      </w:r>
      <w:r w:rsidR="00530263">
        <w:rPr>
          <w:snapToGrid/>
          <w:szCs w:val="24"/>
        </w:rPr>
        <w:t xml:space="preserve">legislative history </w:t>
      </w:r>
      <w:r w:rsidR="00603801">
        <w:rPr>
          <w:snapToGrid/>
          <w:szCs w:val="24"/>
        </w:rPr>
        <w:t>reinforce</w:t>
      </w:r>
      <w:r w:rsidR="00530263">
        <w:rPr>
          <w:snapToGrid/>
          <w:szCs w:val="24"/>
        </w:rPr>
        <w:t>s</w:t>
      </w:r>
      <w:r w:rsidR="00603801">
        <w:rPr>
          <w:snapToGrid/>
          <w:szCs w:val="24"/>
        </w:rPr>
        <w:t xml:space="preserve"> the validity of a subsequent </w:t>
      </w:r>
      <w:r w:rsidR="00530263">
        <w:rPr>
          <w:snapToGrid/>
          <w:szCs w:val="24"/>
        </w:rPr>
        <w:t>written instrument because after nearly</w:t>
      </w:r>
      <w:r w:rsidR="00603801">
        <w:rPr>
          <w:snapToGrid/>
          <w:szCs w:val="24"/>
        </w:rPr>
        <w:t xml:space="preserve"> fifty years</w:t>
      </w:r>
      <w:r w:rsidR="00530263">
        <w:rPr>
          <w:snapToGrid/>
          <w:szCs w:val="24"/>
        </w:rPr>
        <w:t xml:space="preserve"> Congress continuously chooses</w:t>
      </w:r>
      <w:r w:rsidR="008E6ACF">
        <w:rPr>
          <w:snapToGrid/>
          <w:szCs w:val="24"/>
        </w:rPr>
        <w:t xml:space="preserve"> not to </w:t>
      </w:r>
      <w:r w:rsidR="00603801">
        <w:rPr>
          <w:snapToGrid/>
          <w:szCs w:val="24"/>
        </w:rPr>
        <w:t>add</w:t>
      </w:r>
      <w:r w:rsidR="00530263">
        <w:rPr>
          <w:snapToGrid/>
          <w:szCs w:val="24"/>
        </w:rPr>
        <w:t xml:space="preserve"> a temporal restriction</w:t>
      </w:r>
      <w:r w:rsidR="00603801">
        <w:rPr>
          <w:snapToGrid/>
          <w:szCs w:val="24"/>
        </w:rPr>
        <w:t>.</w:t>
      </w:r>
    </w:p>
    <w:p w14:paraId="78B6385A" w14:textId="77777777" w:rsidR="0090088C" w:rsidRDefault="0090088C" w:rsidP="00736668">
      <w:pPr>
        <w:pStyle w:val="ListParagraph"/>
        <w:numPr>
          <w:ilvl w:val="0"/>
          <w:numId w:val="14"/>
        </w:numPr>
        <w:spacing w:line="480" w:lineRule="auto"/>
        <w:rPr>
          <w:b/>
          <w:szCs w:val="24"/>
        </w:rPr>
      </w:pPr>
      <w:r>
        <w:rPr>
          <w:b/>
          <w:szCs w:val="24"/>
        </w:rPr>
        <w:t>Current Precedent on the Written Instrument for a “Work for Hire” Agreement Allows for the Written Agreement to Occur Subsequent to the Work’s Creation</w:t>
      </w:r>
    </w:p>
    <w:p w14:paraId="019CDABF" w14:textId="77777777" w:rsidR="00884786" w:rsidRDefault="008E6ACF" w:rsidP="00370215">
      <w:pPr>
        <w:spacing w:line="480" w:lineRule="auto"/>
        <w:ind w:firstLine="720"/>
        <w:rPr>
          <w:szCs w:val="24"/>
        </w:rPr>
      </w:pPr>
      <w:r>
        <w:rPr>
          <w:szCs w:val="24"/>
        </w:rPr>
        <w:t xml:space="preserve">The court should construe </w:t>
      </w:r>
      <w:bookmarkStart w:id="90" w:name="CITRUS_BOOKMARK1000000078"/>
      <w:r>
        <w:rPr>
          <w:szCs w:val="24"/>
        </w:rPr>
        <w:t>§ 101(2)</w:t>
      </w:r>
      <w:bookmarkEnd w:id="90"/>
      <w:r>
        <w:rPr>
          <w:szCs w:val="24"/>
        </w:rPr>
        <w:t xml:space="preserve"> to allow a subsequent written instrument under current precedent in the appellate courts. Current precedent in the </w:t>
      </w:r>
      <w:r w:rsidR="00013462">
        <w:rPr>
          <w:szCs w:val="24"/>
        </w:rPr>
        <w:t xml:space="preserve">Second Circuit </w:t>
      </w:r>
      <w:r>
        <w:rPr>
          <w:szCs w:val="24"/>
        </w:rPr>
        <w:t xml:space="preserve">allows for the writing requirement in </w:t>
      </w:r>
      <w:bookmarkStart w:id="91" w:name="CITRUS_BOOKMARK1000000079"/>
      <w:r>
        <w:rPr>
          <w:szCs w:val="24"/>
        </w:rPr>
        <w:t>§ 101(2)</w:t>
      </w:r>
      <w:bookmarkEnd w:id="91"/>
      <w:r>
        <w:rPr>
          <w:szCs w:val="24"/>
        </w:rPr>
        <w:t xml:space="preserve"> to be met by “</w:t>
      </w:r>
      <w:r w:rsidRPr="008E6ACF">
        <w:rPr>
          <w:snapToGrid/>
          <w:szCs w:val="24"/>
        </w:rPr>
        <w:t>a writing executed after the work is created, if the writing confirms a prior agreement, either explicit or implicit, made before the creation of the work</w:t>
      </w:r>
      <w:r>
        <w:rPr>
          <w:snapToGrid/>
          <w:szCs w:val="24"/>
        </w:rPr>
        <w:t xml:space="preserve">.” </w:t>
      </w:r>
      <w:bookmarkStart w:id="92" w:name="CITRUS_BOOKMARK80"/>
      <w:r w:rsidR="00081E01" w:rsidRPr="000D602A">
        <w:rPr>
          <w:i/>
          <w:snapToGrid/>
          <w:szCs w:val="24"/>
        </w:rPr>
        <w:t>Playboy Enters. v. Dumas</w:t>
      </w:r>
      <w:r w:rsidR="00081E01" w:rsidRPr="005821C9">
        <w:rPr>
          <w:snapToGrid/>
          <w:szCs w:val="24"/>
        </w:rPr>
        <w:t>, 53 F.3d 549, 559 (2d Cir. 1995)</w:t>
      </w:r>
      <w:bookmarkEnd w:id="92"/>
      <w:r w:rsidR="00176647">
        <w:rPr>
          <w:snapToGrid/>
          <w:szCs w:val="24"/>
        </w:rPr>
        <w:t xml:space="preserve">. </w:t>
      </w:r>
      <w:r w:rsidR="00884786">
        <w:rPr>
          <w:snapToGrid/>
          <w:szCs w:val="24"/>
        </w:rPr>
        <w:t xml:space="preserve">Lime and </w:t>
      </w:r>
      <w:r w:rsidR="00176647">
        <w:rPr>
          <w:snapToGrid/>
          <w:szCs w:val="24"/>
        </w:rPr>
        <w:t>OGS</w:t>
      </w:r>
      <w:r w:rsidR="00884786">
        <w:rPr>
          <w:snapToGrid/>
          <w:szCs w:val="24"/>
        </w:rPr>
        <w:t xml:space="preserve"> orally agreed prior to </w:t>
      </w:r>
      <w:r w:rsidR="005B327C">
        <w:rPr>
          <w:snapToGrid/>
          <w:szCs w:val="24"/>
        </w:rPr>
        <w:t xml:space="preserve">the </w:t>
      </w:r>
      <w:r w:rsidR="00884786">
        <w:rPr>
          <w:snapToGrid/>
          <w:szCs w:val="24"/>
        </w:rPr>
        <w:t xml:space="preserve">creation of the screenplay </w:t>
      </w:r>
      <w:r w:rsidR="00176647">
        <w:rPr>
          <w:snapToGrid/>
          <w:szCs w:val="24"/>
        </w:rPr>
        <w:t>on</w:t>
      </w:r>
      <w:r w:rsidR="00884786">
        <w:rPr>
          <w:snapToGrid/>
          <w:szCs w:val="24"/>
        </w:rPr>
        <w:t xml:space="preserve"> a “work for h</w:t>
      </w:r>
      <w:r w:rsidR="00176647">
        <w:rPr>
          <w:snapToGrid/>
          <w:szCs w:val="24"/>
        </w:rPr>
        <w:t xml:space="preserve">ire” agreement that paid $6,000 to </w:t>
      </w:r>
      <w:r w:rsidR="00884786">
        <w:rPr>
          <w:snapToGrid/>
          <w:szCs w:val="24"/>
        </w:rPr>
        <w:t>Lime upon completion of the specially c</w:t>
      </w:r>
      <w:r w:rsidR="00176647">
        <w:rPr>
          <w:snapToGrid/>
          <w:szCs w:val="24"/>
        </w:rPr>
        <w:t xml:space="preserve">ommissioned work. </w:t>
      </w:r>
      <w:r w:rsidR="00884786">
        <w:rPr>
          <w:snapToGrid/>
          <w:szCs w:val="24"/>
        </w:rPr>
        <w:t xml:space="preserve">Lime returned after completion of the work and accepted the $6,000 and signed a contract entitled, </w:t>
      </w:r>
      <w:r w:rsidR="00884786" w:rsidRPr="00DA6748">
        <w:rPr>
          <w:szCs w:val="24"/>
        </w:rPr>
        <w:t>“Work-Made-For-H</w:t>
      </w:r>
      <w:r w:rsidR="00884786">
        <w:rPr>
          <w:szCs w:val="24"/>
        </w:rPr>
        <w:t>ire Agreement,</w:t>
      </w:r>
      <w:r w:rsidR="00884786" w:rsidRPr="00DA6748">
        <w:rPr>
          <w:szCs w:val="24"/>
        </w:rPr>
        <w:t>”</w:t>
      </w:r>
      <w:r w:rsidR="00884786">
        <w:rPr>
          <w:szCs w:val="24"/>
        </w:rPr>
        <w:t xml:space="preserve"> that specifically granted authorshi</w:t>
      </w:r>
      <w:r w:rsidR="00176647">
        <w:rPr>
          <w:szCs w:val="24"/>
        </w:rPr>
        <w:t>p to OGS</w:t>
      </w:r>
      <w:r w:rsidR="00884786">
        <w:rPr>
          <w:szCs w:val="24"/>
        </w:rPr>
        <w:t xml:space="preserve"> pursuant to </w:t>
      </w:r>
      <w:bookmarkStart w:id="93" w:name="CITRUS_BOOKMARK1000000081"/>
      <w:r w:rsidR="00884786">
        <w:rPr>
          <w:szCs w:val="24"/>
        </w:rPr>
        <w:t>§ 101(2)</w:t>
      </w:r>
      <w:bookmarkEnd w:id="93"/>
      <w:r w:rsidR="00884786">
        <w:rPr>
          <w:szCs w:val="24"/>
        </w:rPr>
        <w:t xml:space="preserve"> and § 201(b). The facts of the present case demonstrate a written instrument memorializing an explicit</w:t>
      </w:r>
      <w:r w:rsidR="00176647">
        <w:rPr>
          <w:szCs w:val="24"/>
        </w:rPr>
        <w:t xml:space="preserve"> oral agreement, that </w:t>
      </w:r>
      <w:r w:rsidR="00884786">
        <w:rPr>
          <w:szCs w:val="24"/>
        </w:rPr>
        <w:t>Lime does not contest, that occurred prior to the creation of the work. Therefore, the</w:t>
      </w:r>
      <w:r w:rsidR="00176647">
        <w:rPr>
          <w:szCs w:val="24"/>
        </w:rPr>
        <w:t xml:space="preserve"> oral agreement and after-creation written instrument created a valid “work for hire” agreement between Lime and OGS.</w:t>
      </w:r>
    </w:p>
    <w:p w14:paraId="79808336" w14:textId="77777777" w:rsidR="00332F3D" w:rsidRDefault="005B327C" w:rsidP="00370215">
      <w:pPr>
        <w:spacing w:line="480" w:lineRule="auto"/>
        <w:ind w:firstLine="720"/>
        <w:rPr>
          <w:szCs w:val="24"/>
        </w:rPr>
      </w:pPr>
      <w:r>
        <w:rPr>
          <w:szCs w:val="24"/>
        </w:rPr>
        <w:t xml:space="preserve">In </w:t>
      </w:r>
      <w:r w:rsidR="00884786">
        <w:rPr>
          <w:szCs w:val="24"/>
        </w:rPr>
        <w:t xml:space="preserve">what appears to be a circuit split on the issue, </w:t>
      </w:r>
      <w:r w:rsidR="00013462">
        <w:rPr>
          <w:szCs w:val="24"/>
        </w:rPr>
        <w:t>the Seventh Circuit</w:t>
      </w:r>
      <w:r>
        <w:rPr>
          <w:szCs w:val="24"/>
        </w:rPr>
        <w:t xml:space="preserve"> stated that the “writing must precede the creation of the property in order to serve the purpose of identifying the (</w:t>
      </w:r>
      <w:proofErr w:type="spellStart"/>
      <w:r>
        <w:rPr>
          <w:szCs w:val="24"/>
        </w:rPr>
        <w:t>noncreator</w:t>
      </w:r>
      <w:proofErr w:type="spellEnd"/>
      <w:r>
        <w:rPr>
          <w:szCs w:val="24"/>
        </w:rPr>
        <w:t xml:space="preserve">) owner unequivocally.” </w:t>
      </w:r>
      <w:bookmarkStart w:id="94" w:name="CITRUS_BOOKMARK82"/>
      <w:proofErr w:type="gramStart"/>
      <w:r w:rsidR="00081E01" w:rsidRPr="000D602A">
        <w:rPr>
          <w:i/>
          <w:szCs w:val="24"/>
        </w:rPr>
        <w:t xml:space="preserve">Schiller &amp; Schmidt v. </w:t>
      </w:r>
      <w:proofErr w:type="spellStart"/>
      <w:r w:rsidR="00081E01" w:rsidRPr="000D602A">
        <w:rPr>
          <w:i/>
          <w:szCs w:val="24"/>
        </w:rPr>
        <w:t>Nordisco</w:t>
      </w:r>
      <w:proofErr w:type="spellEnd"/>
      <w:r w:rsidR="00081E01" w:rsidRPr="000D602A">
        <w:rPr>
          <w:i/>
          <w:szCs w:val="24"/>
        </w:rPr>
        <w:t xml:space="preserve"> Corp.</w:t>
      </w:r>
      <w:r w:rsidR="00081E01">
        <w:rPr>
          <w:szCs w:val="24"/>
        </w:rPr>
        <w:t xml:space="preserve">, 969 F.2d 410, 413 </w:t>
      </w:r>
      <w:r w:rsidR="00081E01">
        <w:rPr>
          <w:szCs w:val="24"/>
        </w:rPr>
        <w:lastRenderedPageBreak/>
        <w:t>(7th Cir. 1992)</w:t>
      </w:r>
      <w:bookmarkEnd w:id="94"/>
      <w:r w:rsidR="00013462">
        <w:rPr>
          <w:szCs w:val="24"/>
        </w:rPr>
        <w:t>.</w:t>
      </w:r>
      <w:proofErr w:type="gramEnd"/>
      <w:r w:rsidR="00013462">
        <w:rPr>
          <w:szCs w:val="24"/>
        </w:rPr>
        <w:t xml:space="preserve"> The Seventh Circuit relied on the policy reasons enumerated in </w:t>
      </w:r>
      <w:r w:rsidR="00013462">
        <w:rPr>
          <w:i/>
          <w:szCs w:val="24"/>
        </w:rPr>
        <w:t>CCNV</w:t>
      </w:r>
      <w:r w:rsidR="00013462">
        <w:rPr>
          <w:szCs w:val="24"/>
        </w:rPr>
        <w:t xml:space="preserve"> that sought to create clear and definite property rights to promote marketability. </w:t>
      </w:r>
      <w:bookmarkStart w:id="95" w:name="CITRUS_BOOKMARK83"/>
      <w:r w:rsidR="00013462" w:rsidRPr="000D602A">
        <w:rPr>
          <w:i/>
          <w:szCs w:val="24"/>
        </w:rPr>
        <w:t>Id.</w:t>
      </w:r>
      <w:bookmarkEnd w:id="95"/>
      <w:r w:rsidR="00013462">
        <w:rPr>
          <w:szCs w:val="24"/>
        </w:rPr>
        <w:t xml:space="preserve"> The Second Circuit agreed in </w:t>
      </w:r>
      <w:r w:rsidR="00013462">
        <w:rPr>
          <w:i/>
          <w:szCs w:val="24"/>
        </w:rPr>
        <w:t>Playboy</w:t>
      </w:r>
      <w:r w:rsidR="00013462">
        <w:rPr>
          <w:szCs w:val="24"/>
        </w:rPr>
        <w:t xml:space="preserve"> with these policies, yet the court </w:t>
      </w:r>
      <w:r w:rsidR="00332F3D">
        <w:rPr>
          <w:szCs w:val="24"/>
        </w:rPr>
        <w:t xml:space="preserve">found that preventing subsequent written instruments that memorialize a prior-to-creation agreement frustrated parties’ freedom of contract and mutual intent. </w:t>
      </w:r>
      <w:r w:rsidR="00332F3D">
        <w:rPr>
          <w:i/>
          <w:szCs w:val="24"/>
        </w:rPr>
        <w:t xml:space="preserve">See Playboy </w:t>
      </w:r>
      <w:r w:rsidR="00332F3D">
        <w:rPr>
          <w:szCs w:val="24"/>
        </w:rPr>
        <w:t>at 561. This frustration clouds certainty more than allowing a subsequent written instrument.</w:t>
      </w:r>
      <w:r w:rsidR="00013462">
        <w:rPr>
          <w:szCs w:val="24"/>
        </w:rPr>
        <w:t xml:space="preserve"> </w:t>
      </w:r>
      <w:r w:rsidR="00332F3D">
        <w:rPr>
          <w:szCs w:val="24"/>
        </w:rPr>
        <w:t xml:space="preserve">Furthermore, the Seventh Circuit fails to apply proper statutory interpretation methods by never addressing the language of the statute. </w:t>
      </w:r>
      <w:r w:rsidR="00DD5BE6">
        <w:rPr>
          <w:szCs w:val="24"/>
        </w:rPr>
        <w:t xml:space="preserve">The main reason the court does not apply the proper interpretative methods is because that portion of the opinion was dicta. Dictum does not bind a court. </w:t>
      </w:r>
      <w:bookmarkStart w:id="96" w:name="CITRUS_BOOKMARK115"/>
      <w:proofErr w:type="gramStart"/>
      <w:r w:rsidR="00C42B12" w:rsidRPr="000D602A">
        <w:rPr>
          <w:i/>
        </w:rPr>
        <w:t xml:space="preserve">Humphrey's </w:t>
      </w:r>
      <w:proofErr w:type="spellStart"/>
      <w:r w:rsidR="00C42B12" w:rsidRPr="000D602A">
        <w:rPr>
          <w:i/>
        </w:rPr>
        <w:t>Ex'r</w:t>
      </w:r>
      <w:proofErr w:type="spellEnd"/>
      <w:r w:rsidR="00C42B12" w:rsidRPr="000D602A">
        <w:rPr>
          <w:i/>
        </w:rPr>
        <w:t xml:space="preserve"> v. United States</w:t>
      </w:r>
      <w:r w:rsidR="00C42B12">
        <w:t>, 295 U.S. 602, 627 (1935)</w:t>
      </w:r>
      <w:bookmarkEnd w:id="96"/>
      <w:r w:rsidR="00DD5BE6">
        <w:t>.</w:t>
      </w:r>
      <w:proofErr w:type="gramEnd"/>
      <w:r w:rsidR="00DD5BE6">
        <w:t xml:space="preserve"> </w:t>
      </w:r>
      <w:r w:rsidR="00332F3D">
        <w:rPr>
          <w:szCs w:val="24"/>
        </w:rPr>
        <w:t>The present court should interpret the Seventh Circuit’s reading in the same manner as the Second Court to promote the policy goals enumerated and prevent the frustration of parties’ freedom to contract.</w:t>
      </w:r>
    </w:p>
    <w:p w14:paraId="5236A6CD" w14:textId="77777777" w:rsidR="00452B5B" w:rsidRDefault="00332F3D" w:rsidP="00452B5B">
      <w:pPr>
        <w:spacing w:line="480" w:lineRule="auto"/>
        <w:ind w:firstLine="720"/>
        <w:rPr>
          <w:szCs w:val="24"/>
        </w:rPr>
      </w:pPr>
      <w:r>
        <w:rPr>
          <w:i/>
          <w:szCs w:val="24"/>
        </w:rPr>
        <w:t>Schiller</w:t>
      </w:r>
      <w:r w:rsidR="00013462">
        <w:rPr>
          <w:szCs w:val="24"/>
        </w:rPr>
        <w:t xml:space="preserve"> is distinguishable </w:t>
      </w:r>
      <w:r>
        <w:rPr>
          <w:szCs w:val="24"/>
        </w:rPr>
        <w:t xml:space="preserve">from the present case </w:t>
      </w:r>
      <w:r w:rsidR="00013462">
        <w:rPr>
          <w:szCs w:val="24"/>
        </w:rPr>
        <w:t xml:space="preserve">in several ways. The key factual distinctions are (1) in </w:t>
      </w:r>
      <w:r w:rsidR="00013462">
        <w:rPr>
          <w:i/>
          <w:szCs w:val="24"/>
        </w:rPr>
        <w:t xml:space="preserve">Schiller </w:t>
      </w:r>
      <w:r w:rsidR="00013462">
        <w:rPr>
          <w:szCs w:val="24"/>
        </w:rPr>
        <w:t xml:space="preserve">only one party signed the instrument and (2) the instrument did not appear until five years later. </w:t>
      </w:r>
      <w:proofErr w:type="gramStart"/>
      <w:r>
        <w:rPr>
          <w:i/>
          <w:szCs w:val="24"/>
        </w:rPr>
        <w:t>Schiller</w:t>
      </w:r>
      <w:r w:rsidR="00013462">
        <w:rPr>
          <w:i/>
          <w:szCs w:val="24"/>
        </w:rPr>
        <w:t xml:space="preserve"> </w:t>
      </w:r>
      <w:r w:rsidR="00013462">
        <w:rPr>
          <w:szCs w:val="24"/>
        </w:rPr>
        <w:t>at 412.</w:t>
      </w:r>
      <w:proofErr w:type="gramEnd"/>
      <w:r w:rsidR="00013462">
        <w:rPr>
          <w:szCs w:val="24"/>
        </w:rPr>
        <w:t xml:space="preserve"> </w:t>
      </w:r>
      <w:r>
        <w:rPr>
          <w:szCs w:val="24"/>
        </w:rPr>
        <w:t xml:space="preserve">In the present </w:t>
      </w:r>
      <w:r w:rsidR="00470D91">
        <w:rPr>
          <w:szCs w:val="24"/>
        </w:rPr>
        <w:t>case,</w:t>
      </w:r>
      <w:r>
        <w:rPr>
          <w:szCs w:val="24"/>
        </w:rPr>
        <w:t xml:space="preserve"> the facts are (1) both parties orally agreed to a “work for hire” agreement prior to creation, (2) both parties signed the written instrument, and (3) </w:t>
      </w:r>
      <w:r w:rsidR="00287630">
        <w:rPr>
          <w:szCs w:val="24"/>
        </w:rPr>
        <w:t>five</w:t>
      </w:r>
      <w:r w:rsidR="00884786">
        <w:rPr>
          <w:szCs w:val="24"/>
        </w:rPr>
        <w:t xml:space="preserve"> days </w:t>
      </w:r>
      <w:r>
        <w:rPr>
          <w:szCs w:val="24"/>
        </w:rPr>
        <w:t xml:space="preserve">elapsed </w:t>
      </w:r>
      <w:r w:rsidR="00B66322">
        <w:rPr>
          <w:szCs w:val="24"/>
        </w:rPr>
        <w:t xml:space="preserve">from </w:t>
      </w:r>
      <w:r>
        <w:rPr>
          <w:szCs w:val="24"/>
        </w:rPr>
        <w:t>Lime</w:t>
      </w:r>
      <w:r w:rsidR="00287630">
        <w:rPr>
          <w:szCs w:val="24"/>
        </w:rPr>
        <w:t>’s creation of the specially commissioned work</w:t>
      </w:r>
      <w:r>
        <w:rPr>
          <w:szCs w:val="24"/>
        </w:rPr>
        <w:t xml:space="preserve"> </w:t>
      </w:r>
      <w:r w:rsidR="00884786">
        <w:rPr>
          <w:szCs w:val="24"/>
        </w:rPr>
        <w:t xml:space="preserve">and the written contract. </w:t>
      </w:r>
      <w:r w:rsidR="00287630">
        <w:rPr>
          <w:szCs w:val="24"/>
        </w:rPr>
        <w:t xml:space="preserve">These facts separate the two cases because a </w:t>
      </w:r>
      <w:r w:rsidR="00470D91">
        <w:rPr>
          <w:szCs w:val="24"/>
        </w:rPr>
        <w:t>five-day</w:t>
      </w:r>
      <w:r w:rsidR="00287630">
        <w:rPr>
          <w:szCs w:val="24"/>
        </w:rPr>
        <w:t xml:space="preserve"> lapse versus a </w:t>
      </w:r>
      <w:r w:rsidR="00470D91">
        <w:rPr>
          <w:szCs w:val="24"/>
        </w:rPr>
        <w:t>five-year</w:t>
      </w:r>
      <w:r w:rsidR="00287630">
        <w:rPr>
          <w:szCs w:val="24"/>
        </w:rPr>
        <w:t xml:space="preserve"> lapse changes the effect on the issues of clarity and definitiveness. The prior-to-creation oral agreement also adds clarity and definitiveness to the ownership issue mention in the Seventh Circuit. The fact that both parties in the present case signed the written instrument shows agreement and reinforces the Second Circuit’s view that frustrating the parties’ intent clouds the certainty of ownership. These distinguishing factors should lead the court to interpret </w:t>
      </w:r>
      <w:r w:rsidR="00287630">
        <w:rPr>
          <w:szCs w:val="24"/>
        </w:rPr>
        <w:lastRenderedPageBreak/>
        <w:t>this case under the Second Circuits precedent. Under that precedent, the court should deny the Defendants’ motion to dismiss because a valid prior agreement culminated in a signed written instrument.</w:t>
      </w:r>
    </w:p>
    <w:p w14:paraId="15A9F957" w14:textId="77777777" w:rsidR="00452B5B" w:rsidRDefault="00452B5B" w:rsidP="00736668">
      <w:pPr>
        <w:pStyle w:val="ListParagraph"/>
        <w:numPr>
          <w:ilvl w:val="0"/>
          <w:numId w:val="14"/>
        </w:numPr>
        <w:spacing w:line="480" w:lineRule="auto"/>
        <w:rPr>
          <w:b/>
          <w:szCs w:val="24"/>
        </w:rPr>
      </w:pPr>
      <w:r>
        <w:rPr>
          <w:b/>
          <w:szCs w:val="24"/>
        </w:rPr>
        <w:t xml:space="preserve">The Rule of Lenity Does Not Apply Because Congress’ Intent Is </w:t>
      </w:r>
      <w:r w:rsidR="00CC4FC1">
        <w:rPr>
          <w:b/>
          <w:szCs w:val="24"/>
        </w:rPr>
        <w:t>Discernible</w:t>
      </w:r>
    </w:p>
    <w:p w14:paraId="34CF438A" w14:textId="77777777" w:rsidR="00452B5B" w:rsidRPr="00452B5B" w:rsidRDefault="00452B5B" w:rsidP="00452B5B">
      <w:pPr>
        <w:spacing w:line="480" w:lineRule="auto"/>
        <w:ind w:firstLine="720"/>
        <w:rPr>
          <w:szCs w:val="24"/>
        </w:rPr>
      </w:pPr>
      <w:r>
        <w:rPr>
          <w:szCs w:val="24"/>
        </w:rPr>
        <w:t xml:space="preserve">Lime and </w:t>
      </w:r>
      <w:proofErr w:type="spellStart"/>
      <w:r>
        <w:rPr>
          <w:szCs w:val="24"/>
        </w:rPr>
        <w:t>TinyTV</w:t>
      </w:r>
      <w:proofErr w:type="spellEnd"/>
      <w:r>
        <w:rPr>
          <w:szCs w:val="24"/>
        </w:rPr>
        <w:t xml:space="preserve"> </w:t>
      </w:r>
      <w:r>
        <w:t xml:space="preserve">may argue that the rule of lenity applies in their favor because the Act is unclear. </w:t>
      </w:r>
      <w:r>
        <w:rPr>
          <w:szCs w:val="24"/>
        </w:rPr>
        <w:t xml:space="preserve">The rule of lenity applies only if, “after seizing everything from which aid can be derived,” </w:t>
      </w:r>
      <w:bookmarkStart w:id="97" w:name="CITRUS_BOOKMARK92"/>
      <w:r w:rsidR="00CC4FC1" w:rsidRPr="000D602A">
        <w:rPr>
          <w:i/>
          <w:iCs/>
          <w:szCs w:val="24"/>
        </w:rPr>
        <w:t>Smith v. United States</w:t>
      </w:r>
      <w:r w:rsidR="00CC4FC1" w:rsidRPr="00CC4FC1">
        <w:rPr>
          <w:iCs/>
          <w:szCs w:val="24"/>
        </w:rPr>
        <w:t>, 508 U.S. 223, 239 (1993) (internal quotation marks and brackets omitted)</w:t>
      </w:r>
      <w:bookmarkEnd w:id="97"/>
      <w:r>
        <w:rPr>
          <w:szCs w:val="24"/>
        </w:rPr>
        <w:t xml:space="preserve">, the court can make “no more than a guess as to what Congress intended.” </w:t>
      </w:r>
      <w:bookmarkStart w:id="98" w:name="CITRUS_BOOKMARK93"/>
      <w:r w:rsidR="00CC4FC1" w:rsidRPr="000D602A">
        <w:rPr>
          <w:i/>
          <w:iCs/>
          <w:szCs w:val="24"/>
        </w:rPr>
        <w:t>Ladner v. United States</w:t>
      </w:r>
      <w:r w:rsidR="00CC4FC1" w:rsidRPr="00CC4FC1">
        <w:rPr>
          <w:iCs/>
          <w:szCs w:val="24"/>
        </w:rPr>
        <w:t>, 358 U.S. 169, 178 (1958)</w:t>
      </w:r>
      <w:bookmarkEnd w:id="98"/>
      <w:r>
        <w:rPr>
          <w:szCs w:val="24"/>
        </w:rPr>
        <w:t xml:space="preserve">.” </w:t>
      </w:r>
      <w:bookmarkStart w:id="99" w:name="CITRUS_BOOKMARK94"/>
      <w:proofErr w:type="gramStart"/>
      <w:r w:rsidR="00CC4FC1" w:rsidRPr="000D602A">
        <w:rPr>
          <w:i/>
          <w:szCs w:val="24"/>
        </w:rPr>
        <w:t xml:space="preserve">Reno v. </w:t>
      </w:r>
      <w:proofErr w:type="spellStart"/>
      <w:r w:rsidR="00CC4FC1" w:rsidRPr="000D602A">
        <w:rPr>
          <w:i/>
          <w:szCs w:val="24"/>
        </w:rPr>
        <w:t>Koray</w:t>
      </w:r>
      <w:proofErr w:type="spellEnd"/>
      <w:r w:rsidR="00CC4FC1" w:rsidRPr="00CC4FC1">
        <w:rPr>
          <w:szCs w:val="24"/>
        </w:rPr>
        <w:t>, 515 U.S. 50, 65 (1995)</w:t>
      </w:r>
      <w:bookmarkEnd w:id="99"/>
      <w:r>
        <w:rPr>
          <w:szCs w:val="24"/>
        </w:rPr>
        <w:t>.</w:t>
      </w:r>
      <w:proofErr w:type="gramEnd"/>
      <w:r>
        <w:rPr>
          <w:szCs w:val="24"/>
        </w:rPr>
        <w:t xml:space="preserve"> A reading of the statute in its entirety, an examination of the legislative history, and the findings of previous courts demonstrate that Congress’ intent on this issue does not require guessing. The Act allows for a valid “work for hire” agreement from an oral agreement prior to creation and a signed instrument following creation. Therefore, the rule of lenity does not apply.</w:t>
      </w:r>
    </w:p>
    <w:p w14:paraId="0E5EE32C" w14:textId="77777777" w:rsidR="00BB799B" w:rsidRPr="00DA6748" w:rsidRDefault="00BB799B" w:rsidP="00370215">
      <w:pPr>
        <w:tabs>
          <w:tab w:val="left" w:pos="720"/>
          <w:tab w:val="left" w:pos="1440"/>
          <w:tab w:val="left" w:pos="3330"/>
        </w:tabs>
        <w:spacing w:line="480" w:lineRule="auto"/>
        <w:jc w:val="center"/>
        <w:rPr>
          <w:szCs w:val="24"/>
        </w:rPr>
      </w:pPr>
      <w:r w:rsidRPr="00DA6748">
        <w:rPr>
          <w:b/>
          <w:szCs w:val="24"/>
          <w:u w:val="single"/>
        </w:rPr>
        <w:t>CONCLUSION</w:t>
      </w:r>
    </w:p>
    <w:p w14:paraId="693DC0E2" w14:textId="77777777" w:rsidR="006C5789" w:rsidRDefault="00BB799B" w:rsidP="000D602A">
      <w:pPr>
        <w:tabs>
          <w:tab w:val="left" w:pos="720"/>
          <w:tab w:val="left" w:pos="1440"/>
          <w:tab w:val="left" w:pos="3330"/>
        </w:tabs>
        <w:spacing w:line="480" w:lineRule="auto"/>
        <w:rPr>
          <w:szCs w:val="24"/>
        </w:rPr>
      </w:pPr>
      <w:r w:rsidRPr="00DA6748">
        <w:rPr>
          <w:szCs w:val="24"/>
        </w:rPr>
        <w:tab/>
      </w:r>
      <w:r w:rsidR="006276D5">
        <w:rPr>
          <w:szCs w:val="24"/>
        </w:rPr>
        <w:t xml:space="preserve">The Act </w:t>
      </w:r>
      <w:r w:rsidRPr="00DA6748">
        <w:rPr>
          <w:szCs w:val="24"/>
        </w:rPr>
        <w:t>allow</w:t>
      </w:r>
      <w:r w:rsidR="006276D5">
        <w:rPr>
          <w:szCs w:val="24"/>
        </w:rPr>
        <w:t>s</w:t>
      </w:r>
      <w:r w:rsidRPr="00DA6748">
        <w:rPr>
          <w:szCs w:val="24"/>
        </w:rPr>
        <w:t xml:space="preserve"> for a written instrument governing a “work for hire” agreement to occur subsequent to a work’s creation. Lime’s oral agreement to enter into a “work made for hire” agreement and the subsequent written instrument imbued authorship of the screenplay, “Anticipatory R</w:t>
      </w:r>
      <w:r w:rsidR="00E91F28">
        <w:rPr>
          <w:szCs w:val="24"/>
        </w:rPr>
        <w:t xml:space="preserve">epudiation,” upon </w:t>
      </w:r>
      <w:r w:rsidRPr="00DA6748">
        <w:rPr>
          <w:szCs w:val="24"/>
        </w:rPr>
        <w:t xml:space="preserve">OGS pursuant to </w:t>
      </w:r>
      <w:bookmarkStart w:id="100" w:name="CITRUS_BOOKMARK1000000084"/>
      <w:r w:rsidRPr="00DA6748">
        <w:rPr>
          <w:szCs w:val="24"/>
        </w:rPr>
        <w:t>§ 101(2)</w:t>
      </w:r>
      <w:bookmarkEnd w:id="100"/>
      <w:r w:rsidRPr="00DA6748">
        <w:rPr>
          <w:szCs w:val="24"/>
        </w:rPr>
        <w:t xml:space="preserve"> and § 201(b). </w:t>
      </w:r>
      <w:r w:rsidR="00C877A0" w:rsidRPr="00DA6748">
        <w:rPr>
          <w:szCs w:val="24"/>
        </w:rPr>
        <w:t>As a result, t</w:t>
      </w:r>
      <w:r w:rsidRPr="00DA6748">
        <w:rPr>
          <w:szCs w:val="24"/>
        </w:rPr>
        <w:t xml:space="preserve">he court should deny the Defendants’ motion to dismiss under </w:t>
      </w:r>
      <w:bookmarkStart w:id="101" w:name="CITRUS_BOOKMARK85"/>
      <w:r w:rsidRPr="00952C4B">
        <w:rPr>
          <w:szCs w:val="24"/>
        </w:rPr>
        <w:t>Fed. R. Civ. P. 12</w:t>
      </w:r>
      <w:r w:rsidR="00525D49" w:rsidRPr="00952C4B">
        <w:rPr>
          <w:szCs w:val="24"/>
        </w:rPr>
        <w:t xml:space="preserve"> </w:t>
      </w:r>
      <w:r w:rsidRPr="00952C4B">
        <w:rPr>
          <w:szCs w:val="24"/>
        </w:rPr>
        <w:t>(b)(6)</w:t>
      </w:r>
      <w:bookmarkEnd w:id="101"/>
      <w:r w:rsidRPr="00DA6748">
        <w:rPr>
          <w:szCs w:val="24"/>
        </w:rPr>
        <w:t>.</w:t>
      </w:r>
    </w:p>
    <w:sectPr w:rsidR="006C578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FF36C" w14:textId="77777777" w:rsidR="00CB2933" w:rsidRDefault="00CB2933" w:rsidP="00525D49">
      <w:r>
        <w:separator/>
      </w:r>
    </w:p>
  </w:endnote>
  <w:endnote w:type="continuationSeparator" w:id="0">
    <w:p w14:paraId="7C5C0A76" w14:textId="77777777" w:rsidR="00CB2933" w:rsidRDefault="00CB2933" w:rsidP="00525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630440"/>
      <w:docPartObj>
        <w:docPartGallery w:val="Page Numbers (Bottom of Page)"/>
        <w:docPartUnique/>
      </w:docPartObj>
    </w:sdtPr>
    <w:sdtEndPr>
      <w:rPr>
        <w:noProof/>
      </w:rPr>
    </w:sdtEndPr>
    <w:sdtContent>
      <w:p w14:paraId="1102EF38" w14:textId="77777777" w:rsidR="0012102D" w:rsidRDefault="0012102D">
        <w:pPr>
          <w:pStyle w:val="Footer"/>
          <w:jc w:val="center"/>
        </w:pPr>
        <w:r>
          <w:fldChar w:fldCharType="begin"/>
        </w:r>
        <w:r>
          <w:instrText xml:space="preserve"> PAGE   \* MERGEFORMAT </w:instrText>
        </w:r>
        <w:r>
          <w:fldChar w:fldCharType="separate"/>
        </w:r>
        <w:r w:rsidR="00B14EC0">
          <w:rPr>
            <w:noProof/>
          </w:rPr>
          <w:t>14</w:t>
        </w:r>
        <w:r>
          <w:rPr>
            <w:noProof/>
          </w:rPr>
          <w:fldChar w:fldCharType="end"/>
        </w:r>
      </w:p>
    </w:sdtContent>
  </w:sdt>
  <w:p w14:paraId="389FFC34" w14:textId="77777777" w:rsidR="0012102D" w:rsidRDefault="0012102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D9D42" w14:textId="77777777" w:rsidR="00CB2933" w:rsidRDefault="00CB2933" w:rsidP="00525D49">
      <w:r>
        <w:separator/>
      </w:r>
    </w:p>
  </w:footnote>
  <w:footnote w:type="continuationSeparator" w:id="0">
    <w:p w14:paraId="2E4DA3A6" w14:textId="77777777" w:rsidR="00CB2933" w:rsidRDefault="00CB2933" w:rsidP="00525D4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7687"/>
    <w:multiLevelType w:val="hybridMultilevel"/>
    <w:tmpl w:val="74204D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05DF4"/>
    <w:multiLevelType w:val="hybridMultilevel"/>
    <w:tmpl w:val="75A4929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DFE049E"/>
    <w:multiLevelType w:val="hybridMultilevel"/>
    <w:tmpl w:val="A148D9EE"/>
    <w:lvl w:ilvl="0" w:tplc="FADA27A8">
      <w:start w:val="1"/>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CA2CBC"/>
    <w:multiLevelType w:val="multilevel"/>
    <w:tmpl w:val="E40660E4"/>
    <w:lvl w:ilvl="0">
      <w:start w:val="1"/>
      <w:numFmt w:val="upperRoman"/>
      <w:pStyle w:val="Heading1"/>
      <w:lvlText w:val="%1."/>
      <w:lvlJc w:val="right"/>
      <w:pPr>
        <w:ind w:left="360" w:hanging="36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nsid w:val="189F37F9"/>
    <w:multiLevelType w:val="hybridMultilevel"/>
    <w:tmpl w:val="DB82936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197085"/>
    <w:multiLevelType w:val="hybridMultilevel"/>
    <w:tmpl w:val="16E231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AE6EA4"/>
    <w:multiLevelType w:val="multilevel"/>
    <w:tmpl w:val="4B84871C"/>
    <w:lvl w:ilvl="0">
      <w:start w:val="1"/>
      <w:numFmt w:val="decimal"/>
      <w:lvlText w:val="%1."/>
      <w:lvlJc w:val="left"/>
      <w:pPr>
        <w:tabs>
          <w:tab w:val="num" w:pos="1800"/>
        </w:tabs>
        <w:ind w:left="0" w:firstLine="1440"/>
      </w:pPr>
    </w:lvl>
    <w:lvl w:ilvl="1">
      <w:start w:val="1"/>
      <w:numFmt w:val="lowerLetter"/>
      <w:lvlText w:val="%2."/>
      <w:lvlJc w:val="left"/>
      <w:pPr>
        <w:tabs>
          <w:tab w:val="num" w:pos="1800"/>
        </w:tabs>
        <w:ind w:left="720" w:firstLine="720"/>
      </w:pPr>
    </w:lvl>
    <w:lvl w:ilvl="2">
      <w:start w:val="1"/>
      <w:numFmt w:val="lowerRoman"/>
      <w:lvlText w:val="%3."/>
      <w:lvlJc w:val="left"/>
      <w:pPr>
        <w:tabs>
          <w:tab w:val="num" w:pos="2880"/>
        </w:tabs>
        <w:ind w:left="1440" w:firstLine="720"/>
      </w:pPr>
    </w:lvl>
    <w:lvl w:ilvl="3">
      <w:start w:val="1"/>
      <w:numFmt w:val="decimal"/>
      <w:lvlText w:val="%4)"/>
      <w:lvlJc w:val="left"/>
      <w:pPr>
        <w:tabs>
          <w:tab w:val="num" w:pos="3240"/>
        </w:tabs>
        <w:ind w:left="2160" w:firstLine="720"/>
      </w:pPr>
    </w:lvl>
    <w:lvl w:ilvl="4">
      <w:start w:val="1"/>
      <w:numFmt w:val="lowerLetter"/>
      <w:lvlText w:val="(%5)"/>
      <w:lvlJc w:val="left"/>
      <w:pPr>
        <w:tabs>
          <w:tab w:val="num" w:pos="3960"/>
        </w:tabs>
        <w:ind w:left="2880" w:firstLine="72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3C722592"/>
    <w:multiLevelType w:val="hybridMultilevel"/>
    <w:tmpl w:val="C36829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39274BB"/>
    <w:multiLevelType w:val="hybridMultilevel"/>
    <w:tmpl w:val="80E8AD88"/>
    <w:lvl w:ilvl="0" w:tplc="2F065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8F233A"/>
    <w:multiLevelType w:val="hybridMultilevel"/>
    <w:tmpl w:val="426230C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D731B5"/>
    <w:multiLevelType w:val="hybridMultilevel"/>
    <w:tmpl w:val="DC5C6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DC56D8"/>
    <w:multiLevelType w:val="hybridMultilevel"/>
    <w:tmpl w:val="7CF67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8347C8"/>
    <w:multiLevelType w:val="hybridMultilevel"/>
    <w:tmpl w:val="19E6FF42"/>
    <w:lvl w:ilvl="0" w:tplc="506E04D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A7B7BF8"/>
    <w:multiLevelType w:val="hybridMultilevel"/>
    <w:tmpl w:val="D930A334"/>
    <w:lvl w:ilvl="0" w:tplc="6EF2D9C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B32CC1"/>
    <w:multiLevelType w:val="hybridMultilevel"/>
    <w:tmpl w:val="5330D7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F28786C"/>
    <w:multiLevelType w:val="hybridMultilevel"/>
    <w:tmpl w:val="CD76C388"/>
    <w:lvl w:ilvl="0" w:tplc="7826A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3"/>
  </w:num>
  <w:num w:numId="3">
    <w:abstractNumId w:val="3"/>
  </w:num>
  <w:num w:numId="4">
    <w:abstractNumId w:val="6"/>
  </w:num>
  <w:num w:numId="5">
    <w:abstractNumId w:val="5"/>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15"/>
  </w:num>
  <w:num w:numId="11">
    <w:abstractNumId w:val="7"/>
  </w:num>
  <w:num w:numId="12">
    <w:abstractNumId w:val="8"/>
  </w:num>
  <w:num w:numId="13">
    <w:abstractNumId w:val="9"/>
  </w:num>
  <w:num w:numId="14">
    <w:abstractNumId w:val="13"/>
  </w:num>
  <w:num w:numId="15">
    <w:abstractNumId w:val="14"/>
  </w:num>
  <w:num w:numId="16">
    <w:abstractNumId w:val="2"/>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Humphrey's Ex'r v. United States, 295 U.S. 602, 627 (1935)"/>
    <w:docVar w:name="_CITRUS_JURISDICTION" w:val="Bluebook"/>
    <w:docVar w:name="CITRUS_BOOKMARK1[0]" w:val="&lt;#1&gt;&lt;citation&gt;&lt;citation._original_string&gt;Fed. R. Civ. P. 12 (b)(6)&lt;/citation._original_string&gt;&lt;citation._current_string&gt;Fed. R. Civ. P. 12 (b)(6)&lt;/citation._current_string&gt;&lt;citation._full_string&gt;Fed. R. Civ. P. 12 (b)(6)&lt;/citation._full_string&gt;&lt;citation._current_format&gt;Full.ProceduralRule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ProcRules&lt;/citation.key3&gt;&lt;citation.value3&gt;Fed. R. Civ. P. &lt;/citation.value3&gt;&lt;citation.key4&gt;ProcRules.Civil&lt;/citation.key4&gt;&lt;citation.value4&gt;Civ.&lt;/citation.value4&gt;&lt;citation.key5&gt;ProcRules.Federal&lt;/citation.key5&gt;&lt;citation.value5&gt;Fed.&lt;/citation.value5&gt;&lt;citation.key6&gt;ProcRules.Procedure&lt;/citation.key6&gt;&lt;citation.value6&gt;P&lt;/citation.value6&gt;&lt;citation.key7&gt;ProcRules.Rules&lt;/citation.key7&gt;&lt;citation.value7&gt;R.&lt;/citation.value7&gt;&lt;citation.key8&gt;ProcRules._Pattern&lt;/citation.key8&gt;&lt;citation.value8&gt;ProcRules.ProcRules&lt;/citation.value8&gt;&lt;citation.key9&gt;__RuleNumberList&lt;/citation.key9&gt;&lt;citation.value9&gt;12 (b)(6) &lt;/citation.value9&gt;&lt;citation.key10&gt;__RuleNumberList._Pattern&lt;/citation.key10&gt;&lt;citation.value10&gt;RuleNumberList.RuleNumberList&lt;/citation.value10&gt;&lt;citation.key11&gt;__RuleNumberList.__RuleNumber&lt;/citation.key11&gt;&lt;citation.value11&gt;12 (b)(6)&lt;/citation.value11&gt;&lt;citation.key12&gt;__RuleNumberList.rule&lt;/citation.key12&gt;&lt;citation.value12&gt;rule&lt;/citation.value12&gt;&lt;/citation&gt;_x000a_"/>
    <w:docVar w:name="CITRUS_BOOKMARK100[0]" w:val="&lt;#1&gt;&lt;citation&gt;&lt;citation._original_string&gt;17 U.S.C. § 101 (1976)&lt;/citation._original_string&gt;&lt;citation._current_string&gt;17 U.S.C. § 101 (1976)&lt;/citation._current_string&gt;&lt;citation._full_string&gt;17 U.S.C. §101 (197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1976)&lt;/citation.value19&gt;&lt;citation.key20&gt;__AfterStatutoryCite.StatutoryCodeEditionCite&lt;/citation.key20&gt;&lt;citation.value20&gt; (197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6 &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1976 &lt;/citation.value25&gt;&lt;citation.key26&gt;__AfterStatutoryCite.StatutoryCodeEditionCite.StatutoryCodeEdition.Year.Year&lt;/citation.key26&gt;&lt;citation.value26&gt;197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000000002[0]" w:val="17 U.S.C. §§ 101, et seq. (CRA)"/>
    <w:docVar w:name="CITRUS_BOOKMARK1000000003[0]" w:val="§ 101(2)"/>
    <w:docVar w:name="CITRUS_BOOKMARK1000000004[0]" w:val="17 U.S.C. § 201(b)"/>
    <w:docVar w:name="CITRUS_BOOKMARK1000000005[0]" w:val="Id. ¶ 5"/>
    <w:docVar w:name="CITRUS_BOOKMARK1000000006[0]" w:val="Id. ¶¶ 9, 11"/>
    <w:docVar w:name="CITRUS_BOOKMARK1000000007[0]" w:val="Id. ¶¶ 9, 12"/>
    <w:docVar w:name="CITRUS_BOOKMARK1000000008[0]" w:val="Id. ¶ 9"/>
    <w:docVar w:name="CITRUS_BOOKMARK1000000009[0]" w:val="Id. ¶¶ 13, 15"/>
    <w:docVar w:name="CITRUS_BOOKMARK1000000010[0]" w:val="Id. ¶ 16"/>
    <w:docVar w:name="CITRUS_BOOKMARK1000000011[0]" w:val="Id. ¶ 17"/>
    <w:docVar w:name="CITRUS_BOOKMARK1000000012[0]" w:val="Id. ¶ 20"/>
    <w:docVar w:name="CITRUS_BOOKMARK1000000013[0]" w:val="Id. ¶ 21"/>
    <w:docVar w:name="CITRUS_BOOKMARK1000000014[0]" w:val="Id. ¶ 22"/>
    <w:docVar w:name="CITRUS_BOOKMARK1000000015[0]" w:val="Id. ¶ 24"/>
    <w:docVar w:name="CITRUS_BOOKMARK1000000016[0]" w:val="Id. ¶ 24"/>
    <w:docVar w:name="CITRUS_BOOKMARK1000000017[0]" w:val="Id. ¶ 25"/>
    <w:docVar w:name="CITRUS_BOOKMARK1000000018[0]" w:val="Id. ¶ 26"/>
    <w:docVar w:name="CITRUS_BOOKMARK1000000019[0]" w:val="Id. ¶ 27-28"/>
    <w:docVar w:name="CITRUS_BOOKMARK1000000020[0]" w:val="Id. ¶ 31"/>
    <w:docVar w:name="CITRUS_BOOKMARK1000000021[0]" w:val="Id. ¶ 29"/>
    <w:docVar w:name="CITRUS_BOOKMARK1000000022[0]" w:val="§ 101(2)"/>
    <w:docVar w:name="CITRUS_BOOKMARK1000000023[0]" w:val="17 U.S.C. § 101(2)"/>
    <w:docVar w:name="CITRUS_BOOKMARK1000000024[0]" w:val="17 U.S.C. § 101(2)"/>
    <w:docVar w:name="CITRUS_BOOKMARK1000000028[0]" w:val="490 U.S. at 748, n.14 (citations omitted)"/>
    <w:docVar w:name="CITRUS_BOOKMARK1000000029[0]" w:val="17 U.S.C. § 101(2)"/>
    <w:docVar w:name="CITRUS_BOOKMARK1000000031[0]" w:val="§ 101(2)"/>
    <w:docVar w:name="CITRUS_BOOKMARK1000000032[0]" w:val="§ 101(2)"/>
    <w:docVar w:name="CITRUS_BOOKMARK1000000033[0]" w:val="§ 101(2)"/>
    <w:docVar w:name="CITRUS_BOOKMARK1000000035[0]" w:val="§ 203(a)(4)"/>
    <w:docVar w:name="CITRUS_BOOKMARK1000000036[0]" w:val="§ 110(4)(B)(i-ii)"/>
    <w:docVar w:name="CITRUS_BOOKMARK1000000037[0]" w:val="§ 101(2)"/>
    <w:docVar w:name="CITRUS_BOOKMARK1000000038[0]" w:val="See 490 U.S. at 748"/>
    <w:docVar w:name="CITRUS_BOOKMARK1000000039[0]" w:val="17 U.S.C. § 204(a)"/>
    <w:docVar w:name="CITRUS_BOOKMARK1000000041[0]" w:val="§ 101(2)"/>
    <w:docVar w:name="CITRUS_BOOKMARK1000000042[0]" w:val="§ 204(a)"/>
    <w:docVar w:name="CITRUS_BOOKMARK1000000043[0]" w:val="§ 101(2)"/>
    <w:docVar w:name="CITRUS_BOOKMARK1000000044[0]" w:val="§ 101(2)"/>
    <w:docVar w:name="CITRUS_BOOKMARK1000000045[0]" w:val="§ 203(a)"/>
    <w:docVar w:name="CITRUS_BOOKMARK1000000046[0]" w:val="§ 204(a)"/>
    <w:docVar w:name="CITRUS_BOOKMARK1000000047[0]" w:val="§ 101(2)"/>
    <w:docVar w:name="CITRUS_BOOKMARK1000000048[0]" w:val="§ 204(a)"/>
    <w:docVar w:name="CITRUS_BOOKMARK1000000049[0]" w:val="§ 101(2)"/>
    <w:docVar w:name="CITRUS_BOOKMARK1000000054[0]" w:val="§ 101(2)"/>
    <w:docVar w:name="CITRUS_BOOKMARK1000000055[0]" w:val="§ 101(2)"/>
    <w:docVar w:name="CITRUS_BOOKMARK1000000058[0]" w:val="490 U.S. at 749"/>
    <w:docVar w:name="CITRUS_BOOKMARK1000000059[0]" w:val="U.S. Const., Art I"/>
    <w:docVar w:name="CITRUS_BOOKMARK1000000060[0]" w:val="§8"/>
    <w:docVar w:name="CITRUS_BOOKMARK1000000061[0]" w:val="§ 101(2)"/>
    <w:docVar w:name="CITRUS_BOOKMARK1000000062[0]" w:val="§ 15.03(g)"/>
    <w:docVar w:name="CITRUS_BOOKMARK1000000063[0]" w:val="Id"/>
    <w:docVar w:name="CITRUS_BOOKMARK1000000064[0]" w:val="§ 101(2)"/>
    <w:docVar w:name="CITRUS_BOOKMARK1000000065[0]" w:val="§ 101(2)"/>
    <w:docVar w:name="CITRUS_BOOKMARK1000000067[0]" w:val="§ 101(2)"/>
    <w:docVar w:name="CITRUS_BOOKMARK1000000068[0]" w:val="§ 101(2)"/>
    <w:docVar w:name="CITRUS_BOOKMARK1000000069[0]" w:val="§ 101(2)"/>
    <w:docVar w:name="CITRUS_BOOKMARK1000000070[0]" w:val="§ 101(2)"/>
    <w:docVar w:name="CITRUS_BOOKMARK1000000071[0]" w:val="§ 101(2)"/>
    <w:docVar w:name="CITRUS_BOOKMARK1000000073[0]" w:val="§ 101(2)"/>
    <w:docVar w:name="CITRUS_BOOKMARK1000000076[0]" w:val="Milner v. Dep't of Navy, 131 U.S. 1259, 1267 (2011)"/>
    <w:docVar w:name="CITRUS_BOOKMARK1000000077[0]" w:val="§ 101(2)"/>
    <w:docVar w:name="CITRUS_BOOKMARK1000000078[0]" w:val="§ 101(2)"/>
    <w:docVar w:name="CITRUS_BOOKMARK1000000079[0]" w:val="§ 101(2)"/>
    <w:docVar w:name="CITRUS_BOOKMARK1000000081[0]" w:val="§ 101(2)"/>
    <w:docVar w:name="CITRUS_BOOKMARK1000000084[0]" w:val="§ 101(2)"/>
    <w:docVar w:name="CITRUS_BOOKMARK1000000086[0]" w:val="§ 101(2)"/>
    <w:docVar w:name="CITRUS_BOOKMARK1000000087[0]" w:val="17 U.S.C. § 101(2)"/>
    <w:docVar w:name="CITRUS_BOOKMARK1000000088[0]" w:val="17 U.S.C. § 101(2)"/>
    <w:docVar w:name="CITRUS_BOOKMARK1000000089[0]" w:val="See 490 U.S. at 748"/>
    <w:docVar w:name="CITRUS_BOOKMARK1000000091[0]" w:val="§ 101(2)"/>
    <w:docVar w:name="CITRUS_BOOKMARK1000000098[0]" w:val="§ 101(2)"/>
    <w:docVar w:name="CITRUS_BOOKMARK1000000099[0]" w:val="§ 101(2)"/>
    <w:docVar w:name="CITRUS_BOOKMARK1000000103[0]" w:val="§ 101(2)"/>
    <w:docVar w:name="CITRUS_BOOKMARK1000000105[0]" w:val="§ 101(2)"/>
    <w:docVar w:name="CITRUS_BOOKMARK1000000106[0]" w:val="§ 101(2)"/>
    <w:docVar w:name="CITRUS_BOOKMARK1000000107[0]" w:val="§ 201(b)"/>
    <w:docVar w:name="CITRUS_BOOKMARK1000000108[0]" w:val="§ 101(2)"/>
    <w:docVar w:name="CITRUS_BOOKMARK1000000109[0]" w:val="§ 204(a)"/>
    <w:docVar w:name="CITRUS_BOOKMARK1000000110[0]" w:val="§ 101(2)"/>
    <w:docVar w:name="CITRUS_BOOKMARK1000000112[0]" w:val="§ 101(2)"/>
    <w:docVar w:name="CITRUS_BOOKMARK1000000113[0]" w:val="§ 101(2)"/>
    <w:docVar w:name="CITRUS_BOOKMARK1000000114[0]" w:val="§ 201(b)"/>
    <w:docVar w:name="CITRUS_BOOKMARK101[0]" w:val="&lt;#1&gt;&lt;citation&gt;&lt;citation._original_string&gt;17 U.S.C. § 101&lt;/citation._original_string&gt;&lt;citation._current_string&gt;17 U.S.C. § 101&lt;/citation._current_string&gt;&lt;citation._full_string&gt;17 U.S.C. §101 (197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1976)&lt;/citation.value19&gt;&lt;citation.key20&gt;__AfterStatutoryCite.StatutoryCodeEditionCite&lt;/citation.key20&gt;&lt;citation.value20&gt;(197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1976&lt;/citation.value25&gt;&lt;citation.key26&gt;__AfterStatutoryCite.StatutoryCodeEditionCite.StatutoryCodeEdition.Year.Year&lt;/citation.key26&gt;&lt;citation.value26&gt;197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02[0]" w:val="&lt;#1&gt;&lt;citation&gt;&lt;citation._original_string&gt;17 U.S.C. § 101&lt;/citation._original_string&gt;&lt;citation._current_string&gt;Id.&lt;/citation._current_string&gt;&lt;citation._full_string&gt;17 U.S.C. §101 (1976)&lt;/citation._full_string&gt;&lt;citation._current_format&gt;Id.USCU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1976)&lt;/citation.value19&gt;&lt;citation.key20&gt;__AfterStatutoryCite.StatutoryCodeEditionCite&lt;/citation.key20&gt;&lt;citation.value20&gt;(197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197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1976&lt;/citation.value25&gt;&lt;citation.key26&gt;__AfterStatutoryCite.StatutoryCodeEditionCite.StatutoryCodeEdition.Year.Year&lt;/citation.key26&gt;&lt;citation.value26&gt;197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04[0]" w:val="&lt;#1&gt;&lt;citation&gt;&lt;citation._original_string&gt;See Jama v. Immigration &amp; Customs Enforcement, 543 U.S. 335 (U.S. 2005)&lt;/citation._original_string&gt;&lt;citation._current_string&gt;See Jama v. Immig. &amp; Customs Enforcement, 543 U.S. 335 (2005)&lt;/citation._current_string&gt;&lt;citation._full_string&gt;see Jama v. Immig. &amp; Customs Enforcement, 543 U.S. 335 (2005)&lt;/citation._full_string&gt;&lt;citation._current_format&gt;Full.CaseCitation&lt;/citation._current_format&gt;&lt;citation.name&gt;&lt;/citation.name&gt;&lt;citation.key0&gt;,&lt;/citation.key0&gt;&lt;citation.value0&gt;,&lt;/citation.value0&gt;&lt;citation.key1&gt;CaseName.FirstParty.Party&lt;/citation.key1&gt;&lt;citation.value1&gt;Jama&lt;/citation.value1&gt;&lt;citation.key2&gt;CaseName.FirstParty._Pattern&lt;/citation.key2&gt;&lt;citation.value2&gt;Party.Party&lt;/citation.value2&gt;&lt;citation.key3&gt;CaseName.SecondParty.Party&lt;/citation.key3&gt;&lt;citation.value3&gt;Immigration &amp; Customs Enforcement&lt;/citation.value3&gt;&lt;citation.key4&gt;CaseName.SecondParty._Pattern&lt;/citation.key4&gt;&lt;citation.value4&gt;Party.Party&lt;/citation.value4&gt;&lt;citation.key5&gt;CourtParenthetical&lt;/citation.key5&gt;&lt;citation.value5&gt; (2005) &lt;/citation.value5&gt;&lt;citation.key6&gt;CourtParenthetical.Date.Year.Year&lt;/citation.key6&gt;&lt;citation.value6&gt;200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Jama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3 U.S. 335 &lt;/citation.value23&gt;&lt;citation.key24&gt;Reporter.FirstPage&lt;/citation.key24&gt;&lt;citation.value24&gt;335&lt;/citation.value24&gt;&lt;citation.key25&gt;Reporter.Name&lt;/citation.key25&gt;&lt;citation.value25&gt;U.S.&lt;/citation.value25&gt;&lt;citation.key26&gt;Reporter.Volume&lt;/citation.key26&gt;&lt;citation.value26&gt;543&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econdParty&lt;/citation.key33&gt;&lt;citation.value33&gt;Immig. &amp; Customs Enforcement &lt;/citation.value33&gt;&lt;citation.key34&gt;__Signal&lt;/citation.key34&gt;&lt;citation.value34&gt;see &lt;/citation.value34&gt;&lt;citation.key35&gt;__Signal.ForbiddenComma._Pattern&lt;/citation.key35&gt;&lt;citation.value35&gt;ForbiddenComma.ForbiddenComma&lt;/citation.value35&gt;&lt;citation.key36&gt;__Signal.See&lt;/citation.key36&gt;&lt;citation.value36&gt;see&lt;/citation.value36&gt;&lt;citation.key37&gt;__Signal._Pattern&lt;/citation.key37&gt;&lt;citation.value37&gt;Signal.Signal&lt;/citation.value37&gt;&lt;citation.key38&gt;supra&lt;/citation.key38&gt;&lt;citation.value38&gt;&lt;/citation.value38&gt;&lt;citation.key39&gt;supra.,&lt;/citation.key39&gt;&lt;citation.value39&gt;, &lt;/citation.value39&gt;&lt;citation.key40&gt;supra._Pattern&lt;/citation.key40&gt;&lt;citation.value40&gt;ShortCaseSupra.ShortCaseSupra&lt;/citation.value40&gt;&lt;citation.key41&gt;supra.supra&lt;/citation.key41&gt;&lt;citation.value41&gt;supra&lt;/citation.value41&gt;&lt;citation.key42&gt;v&lt;/citation.key42&gt;&lt;citation.value42&gt;v.&lt;/citation.value42&gt;&lt;/citation&gt;_x000a_"/>
    <w:docVar w:name="CITRUS_BOOKMARK111[0]" w:val="&lt;#1&gt;&lt;citation&gt;&lt;citation._original_string&gt;Homeowner Options for Mass. Elders, 754 F. Supp. 2d 201, 208 (D. Mass. 2010)&lt;/citation._original_string&gt;&lt;citation._current_string&gt;Homeowner Options for Mass. Elders, Inc. v. Brookline Bancorp, Inc., 754 F. Supp. 2d 201, 208 (D. Mass. 2010)&lt;/citation._current_string&gt;&lt;citation._full_string&gt;Homeowner Options for Mass. Elders, Inc. v. Brookline Bancorp, Inc., 754 F. Supp. 2d 201, 208 (D. Mass. 2010)&lt;/citation._full_string&gt;&lt;citation._current_format&gt;Full.CaseCitation&lt;/citation._current_format&gt;&lt;citation.name&gt;&lt;/citation.name&gt;&lt;citation.key0&gt;,&lt;/citation.key0&gt;&lt;citation.value0&gt;,&lt;/citation.value0&gt;&lt;citation.key1&gt;CaseName.FirstParty&lt;/citation.key1&gt;&lt;citation.value1&gt;Homeowner Options for Mass. Elders, Inc.&lt;/citation.value1&gt;&lt;citation.key2&gt;CaseName.FirstParty.Party&lt;/citation.key2&gt;&lt;citation.value2&gt;Homeowner Options for Mass. Elders, Inc.&lt;/citation.value2&gt;&lt;citation.key3&gt;CaseName.FirstParty._Pattern&lt;/citation.key3&gt;&lt;citation.value3&gt;Party.Party&lt;/citation.value3&gt;&lt;citation.key4&gt;CaseName.SecondParty&lt;/citation.key4&gt;&lt;citation.value4&gt;Brookline Bancorp, Inc.&lt;/citation.value4&gt;&lt;citation.key5&gt;CaseName.SecondParty.Party&lt;/citation.key5&gt;&lt;citation.value5&gt;Brookline Bancorp,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D. Mass. 2010) &lt;/citation.value8&gt;&lt;citation.key9&gt;CourtParenthetical.CourtName&lt;/citation.key9&gt;&lt;citation.value9&gt;D. Mass. &lt;/citation.value9&gt;&lt;citation.key10&gt;CourtParenthetical.CourtName.CourtName&lt;/citation.key10&gt;&lt;citation.value10&gt;D. Mass.&lt;/citation.value10&gt;&lt;citation.key11&gt;CourtParenthetical.CourtName._Pattern&lt;/citation.key11&gt;&lt;citation.value11&gt;CourtName.CourtName&lt;/citation.value11&gt;&lt;citation.key12&gt;CourtParenthetical.Date.Year&lt;/citation.key12&gt;&lt;citation.value12&gt;2010&lt;/citation.value12&gt;&lt;citation.key13&gt;CourtParenthetical.Date.Year.Year&lt;/citation.key13&gt;&lt;citation.value13&gt;2010&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754 F. Supp. 2d 201, 208&lt;/citation.value30&gt;&lt;citation.key31&gt;Reporter.FirstPage&lt;/citation.key31&gt;&lt;citation.value31&gt;201&lt;/citation.value31&gt;&lt;citation.key32&gt;Reporter.Name&lt;/citation.key32&gt;&lt;citation.value32&gt;F. Supp. 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754&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208&lt;/citation.value40&gt;&lt;citation.key41&gt;Reporter.__PinPages.First&lt;/citation.key41&gt;&lt;citation.value41&gt;208&lt;/citation.value41&gt;&lt;citation.key42&gt;Reporter.__PinPages.First._Pattern&lt;/citation.key42&gt;&lt;citation.value42&gt;FirstPageInRange.FirstPageInRange&lt;/citation.value42&gt;&lt;citation.key43&gt;Reporter.__PinPages.First.__PageNumber&lt;/citation.key43&gt;&lt;citation.value43&gt;208&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15[0]" w:val="&lt;#1&gt;&lt;citation&gt;&lt;citation._original_string&gt;Humphrey's Ex'r v. United States, 295 U.S. 602, 627 (U.S. 1935)&lt;/citation._original_string&gt;&lt;citation._current_string&gt;Humphrey's Ex'r v. United States, 295 U.S. 602, 627 (1935)&lt;/citation._current_string&gt;&lt;citation._full_string&gt;Humphrey's Ex'r v. United States, 295 U.S. 602, 627 (1935)&lt;/citation._full_string&gt;&lt;citation._current_format&gt;Full.CaseCitation&lt;/citation._current_format&gt;&lt;citation.name&gt;&lt;/citation.name&gt;&lt;citation.key0&gt;,&lt;/citation.key0&gt;&lt;citation.value0&gt;,&lt;/citation.value0&gt;&lt;citation.key1&gt;CaseName.FirstParty.Party&lt;/citation.key1&gt;&lt;citation.value1&gt;Humphrey's Executor&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35) &lt;/citation.value5&gt;&lt;citation.key6&gt;CourtParenthetical.Date.Year.Year&lt;/citation.key6&gt;&lt;citation.value6&gt;193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Humphrey's Ex'r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295 U.S. 602, 627&lt;/citation.value23&gt;&lt;citation.key24&gt;Reporter.FirstPage&lt;/citation.key24&gt;&lt;citation.value24&gt;602&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295&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627&lt;/citation.value33&gt;&lt;citation.key34&gt;Reporter.__PinPages.First&lt;/citation.key34&gt;&lt;citation.value34&gt;627&lt;/citation.value34&gt;&lt;citation.key35&gt;Reporter.__PinPages.First._Pattern&lt;/citation.key35&gt;&lt;citation.value35&gt;FirstPageInRange.FirstPageInRange&lt;/citation.value35&gt;&lt;citation.key36&gt;Reporter.__PinPages.First.__PageNumber&lt;/citation.key36&gt;&lt;citation.value36&gt;627&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116[0]" w:val="&lt;#1&gt;&lt;citation&gt;&lt;citation._original_string&gt;See Jama v. Immig. &amp; Customs Enforcement, 543 U.S. 335, 341 (2005)&lt;/citation._original_string&gt;&lt;citation._current_string&gt;See Jama v. Immig. &amp; Customs Enforcement, 543 U.S. 335, 341 (2005)&lt;/citation._current_string&gt;&lt;citation._full_string&gt;see Jama v. Immig. &amp; Customs Enforcement, 543 U.S. 335, 341 (2005)&lt;/citation._full_string&gt;&lt;citation._current_format&gt;Full.CaseCitation&lt;/citation._current_format&gt;&lt;citation.name&gt;&lt;/citation.name&gt;&lt;citation.key0&gt;,&lt;/citation.key0&gt;&lt;citation.value0&gt;,&lt;/citation.value0&gt;&lt;citation.key1&gt;CaseName&lt;/citation.key1&gt;&lt;citation.value1&gt;Jama v. Immig. &amp; Customs Enforcement &lt;/citation.value1&gt;&lt;citation.key2&gt;CaseName.FirstParty&lt;/citation.key2&gt;&lt;citation.value2&gt;Jama &lt;/citation.value2&gt;&lt;citation.key3&gt;CaseName.FirstParty.Party&lt;/citation.key3&gt;&lt;citation.value3&gt;Jama&lt;/citation.value3&gt;&lt;citation.key4&gt;CaseName.FirstParty._Pattern&lt;/citation.key4&gt;&lt;citation.value4&gt;Party.Party&lt;/citation.value4&gt;&lt;citation.key5&gt;CaseName.SecondParty&lt;/citation.key5&gt;&lt;citation.value5&gt;Immig. &amp; Customs Enforcement &lt;/citation.value5&gt;&lt;citation.key6&gt;CaseName.SecondParty.Party&lt;/citation.key6&gt;&lt;citation.value6&gt;Immigration &amp; Customs Enforcement&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5) &lt;/citation.value10&gt;&lt;citation.key11&gt;CourtParenthetical.Date&lt;/citation.key11&gt;&lt;citation.value11&gt;2005 &lt;/citation.value11&gt;&lt;citation.key12&gt;CourtParenthetical.Date.Year&lt;/citation.key12&gt;&lt;citation.value12&gt;2005 &lt;/citation.value12&gt;&lt;citation.key13&gt;CourtParenthetical.Date.Year.Year&lt;/citation.key13&gt;&lt;citation.value13&gt;2005&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Jama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43 U.S. at 341&lt;/citation.value30&gt;&lt;citation.key31&gt;Reporter.FirstPage&lt;/citation.key31&gt;&lt;citation.value31&gt;335&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43&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341&lt;/citation.value40&gt;&lt;citation.key41&gt;Reporter.__PinPages.First&lt;/citation.key41&gt;&lt;citation.value41&gt;341&lt;/citation.value41&gt;&lt;citation.key42&gt;Reporter.__PinPages.First._Pattern&lt;/citation.key42&gt;&lt;citation.value42&gt;FirstPageInRange.FirstPageInRange&lt;/citation.value42&gt;&lt;citation.key43&gt;Reporter.__PinPages.First.__PageNumber&lt;/citation.key43&gt;&lt;citation.value43&gt;34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Immig. &amp; Customs Enforcement &lt;/citation.value49&gt;&lt;citation.key50&gt;__Signal&lt;/citation.key50&gt;&lt;citation.value50&gt;see &lt;/citation.value50&gt;&lt;citation.key51&gt;__Signal.ForbiddenComma._Pattern&lt;/citation.key51&gt;&lt;citation.value51&gt;ForbiddenComma.ForbiddenComma&lt;/citation.value51&gt;&lt;citation.key52&gt;__Signal.See&lt;/citation.key52&gt;&lt;citation.value52&gt;see&lt;/citation.value52&gt;&lt;citation.key53&gt;__Signal._Pattern&lt;/citation.key53&gt;&lt;citation.value53&gt;Signal.Signal&lt;/citation.value53&gt;&lt;citation.key54&gt;supra&lt;/citation.key54&gt;&lt;citation.value54&gt;&lt;/citation.value54&gt;&lt;citation.key55&gt;supra.,&lt;/citation.key55&gt;&lt;citation.value55&gt;, &lt;/citation.value55&gt;&lt;citation.key56&gt;supra._Pattern&lt;/citation.key56&gt;&lt;citation.value56&gt;ShortCaseSupra.ShortCaseSupra&lt;/citation.value56&gt;&lt;citation.key57&gt;supra.supra&lt;/citation.key57&gt;&lt;citation.value57&gt;supra&lt;/citation.value57&gt;&lt;citation.key58&gt;v&lt;/citation.key58&gt;&lt;citation.value58&gt;v.&lt;/citation.value58&gt;&lt;/citation&gt;_x000a_"/>
    <w:docVar w:name="CITRUS_BOOKMARK25[0]" w:val="&lt;#1&gt;&lt;citation&gt;&lt;citation._original_string&gt;Cmty. for Creative Non-Violence v. Reid, 490 U.S. 730, 739 (1989) (CCNV)&lt;/citation._original_string&gt;&lt;citation._current_string&gt;Cmty. for Creative Non-Violence v. Reid, 490 U.S. 730, 739 (1989) (CCNV)&lt;/citation._current_string&gt;&lt;citation._full_string&gt;Cmty. for Creative Non-Violence v. Reid, 490 U.S. 730, 739 (1989) (CCNV)&lt;/citation._full_string&gt;&lt;citation._current_format&gt;Full.CaseCitation&lt;/citation._current_format&gt;&lt;citation.name&gt;&lt;/citation.name&gt;&lt;citation.key0&gt;,&lt;/citation.key0&gt;&lt;citation.value0&gt;,&lt;/citation.value0&gt;&lt;citation.key1&gt;CaseName.FirstParty.Party&lt;/citation.key1&gt;&lt;citation.value1&gt;Community for Creative Non-Violence&lt;/citation.value1&gt;&lt;citation.key2&gt;CaseName.FirstParty._Pattern&lt;/citation.key2&gt;&lt;citation.value2&gt;Party.Party&lt;/citation.value2&gt;&lt;citation.key3&gt;CaseName.SecondParty.Party&lt;/citation.key3&gt;&lt;citation.value3&gt;Reid&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mty. for Creative Non-Violence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Parenthetical&lt;/citation.key23&gt;&lt;citation.value23&gt; (CCNV) &lt;/citation.value23&gt;&lt;citation.key24&gt;Parenthetical.([&lt;/citation.key24&gt;&lt;citation.value24&gt; (&lt;/citation.value24&gt;&lt;citation.key25&gt;Parenthetical.([.(&lt;/citation.key25&gt;&lt;citation.value25&gt;(&lt;/citation.value25&gt;&lt;citation.key26&gt;Parenthetical.([._Pattern&lt;/citation.key26&gt;&lt;citation.value26&gt;([.([&lt;/citation.value26&gt;&lt;citation.key27&gt;Parenthetical.])&lt;/citation.key27&gt;&lt;citation.value27&gt;) &lt;/citation.value27&gt;&lt;citation.key28&gt;Parenthetical.]).)&lt;/citation.key28&gt;&lt;citation.value28&gt;)&lt;/citation.value28&gt;&lt;citation.key29&gt;Parenthetical.])._Pattern&lt;/citation.key29&gt;&lt;citation.value29&gt;]).])&lt;/citation.value29&gt;&lt;citation.key30&gt;Parenthetical._Pattern&lt;/citation.key30&gt;&lt;citation.value30&gt;Parenthetical.Parenthetical&lt;/citation.value30&gt;&lt;citation.key31&gt;Parenthetical.__OtherReasonableExplanation&lt;/citation.key31&gt;&lt;citation.value31&gt;CCNV&lt;/citation.value31&gt;&lt;citation.key32&gt;Reporter&lt;/citation.key32&gt;&lt;citation.value32&gt;490 U.S. 730, 739&lt;/citation.value32&gt;&lt;citation.key33&gt;Reporter.FirstPage&lt;/citation.key33&gt;&lt;citation.value33&gt;730&lt;/citation.value33&gt;&lt;citation.key34&gt;Reporter.Name&lt;/citation.key34&gt;&lt;citation.value34&gt;U.S.&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490&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739&lt;/citation.value42&gt;&lt;citation.key43&gt;Reporter.__PinPages.First&lt;/citation.key43&gt;&lt;citation.value43&gt;739&lt;/citation.value43&gt;&lt;citation.key44&gt;Reporter.__PinPages.First._Pattern&lt;/citation.key44&gt;&lt;citation.value44&gt;FirstPageInRange.FirstPageInRange&lt;/citation.value44&gt;&lt;citation.key45&gt;Reporter.__PinPages.First.__PageNumber&lt;/citation.key45&gt;&lt;citation.value45&gt;739&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_Pattern&lt;/citation.key49&gt;&lt;citation.value49&gt;RequiredComma.RequiredComma&lt;/citation.value49&gt;&lt;citation.key50&gt;SecondParty&lt;/citation.key50&gt;&lt;citation.value50&gt;Reid &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key55&gt;v&lt;/citation.key55&gt;&lt;citation.value55&gt;v.&lt;/citation.value55&gt;&lt;/citation&gt;_x000a_"/>
    <w:docVar w:name="CITRUS_BOOKMARK26[0]" w:val="&lt;#1&gt;&lt;citation&gt;&lt;citation._original_string&gt;Robinson v. Shell Oil Co., 519 U.S. 337, 340 (1997)&lt;/citation._original_string&gt;&lt;citation._current_string&gt;Robinson v. Shell Oil Co., 519 U.S. 337, 340 (1997)&lt;/citation._current_string&gt;&lt;citation._full_string&gt;Robinson v. Shell Oil Co., 519 U.S. 337, 340 (1997)&lt;/citation._full_string&gt;&lt;citation._current_format&gt;Full.CaseCitation&lt;/citation._current_format&gt;&lt;citation.name&gt;&lt;/citation.name&gt;&lt;citation.key0&gt;,&lt;/citation.key0&gt;&lt;citation.value0&gt;,&lt;/citation.value0&gt;&lt;citation.key1&gt;CaseName.FirstParty.Party&lt;/citation.key1&gt;&lt;citation.value1&gt;Robinson&lt;/citation.value1&gt;&lt;citation.key2&gt;CaseName.FirstParty._Pattern&lt;/citation.key2&gt;&lt;citation.value2&gt;Party.Party&lt;/citation.value2&gt;&lt;citation.key3&gt;CaseName.SecondParty.Party&lt;/citation.key3&gt;&lt;citation.value3&gt;Shell Oil Co.&lt;/citation.value3&gt;&lt;citation.key4&gt;CaseName.SecondParty._Pattern&lt;/citation.key4&gt;&lt;citation.value4&gt;Party.Party&lt;/citation.value4&gt;&lt;citation.key5&gt;CourtParenthetical&lt;/citation.key5&gt;&lt;citation.value5&gt; (1997) &lt;/citation.value5&gt;&lt;citation.key6&gt;CourtParenthetical.Date.Year.Year&lt;/citation.key6&gt;&lt;citation.value6&gt;199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Robinson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19 U.S. 337, 340&lt;/citation.value23&gt;&lt;citation.key24&gt;Reporter.FirstPage&lt;/citation.key24&gt;&lt;citation.value24&gt;33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19&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340&lt;/citation.value33&gt;&lt;citation.key34&gt;Reporter.__PinPages.First&lt;/citation.key34&gt;&lt;citation.value34&gt;340&lt;/citation.value34&gt;&lt;citation.key35&gt;Reporter.__PinPages.First._Pattern&lt;/citation.key35&gt;&lt;citation.value35&gt;FirstPageInRange.FirstPageInRange&lt;/citation.value35&gt;&lt;citation.key36&gt;Reporter.__PinPages.First.__PageNumber&lt;/citation.key36&gt;&lt;citation.value36&gt;340&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Shell Oil Co.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7[0]" w:val="&lt;#1&gt;&lt;citation&gt;&lt;citation._original_string&gt;Id&lt;/citation._original_string&gt;&lt;citation._current_string&gt;Id.&lt;/citation._current_string&gt;&lt;citation._full_string&gt;Robinson v. Shell Oil Co., 519 U.S. 337, 340 (1997)&lt;/citation._full_string&gt;&lt;citation._current_format&gt;Id.CaseUId&lt;/citation._current_format&gt;&lt;citation.name&gt;&lt;/citation.name&gt;&lt;citation.key0&gt;,&lt;/citation.key0&gt;&lt;citation.value0&gt;,&lt;/citation.value0&gt;&lt;citation.key1&gt;CaseName.FirstParty.Party&lt;/citation.key1&gt;&lt;citation.value1&gt;Robinson&lt;/citation.value1&gt;&lt;citation.key2&gt;CaseName.FirstParty._Pattern&lt;/citation.key2&gt;&lt;citation.value2&gt;Party.Party&lt;/citation.value2&gt;&lt;citation.key3&gt;CaseName.SecondParty.Party&lt;/citation.key3&gt;&lt;citation.value3&gt;Shell Oil Co.&lt;/citation.value3&gt;&lt;citation.key4&gt;CaseName.SecondParty._Pattern&lt;/citation.key4&gt;&lt;citation.value4&gt;Party.Party&lt;/citation.value4&gt;&lt;citation.key5&gt;CourtParenthetical&lt;/citation.key5&gt;&lt;citation.value5&gt; (1997) &lt;/citation.value5&gt;&lt;citation.key6&gt;CourtParenthetical.Date.Year.Year&lt;/citation.key6&gt;&lt;citation.value6&gt;199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Robinson &lt;/citation.value17&gt;&lt;citation.key18&gt;Id&lt;/citation.key18&gt;&lt;citation.value18&gt;Id. &lt;/citation.value18&gt;&lt;citation.key19&gt;Id.ForbiddenComma._Pattern&lt;/citation.key19&gt;&lt;citation.value19&gt;ForbiddenComma.ForbiddenComma&lt;/citation.value19&gt;&lt;citation.key20&gt;Id.Id&lt;/citation.key20&gt;&lt;citation.value20&gt;Id.&lt;/citation.value20&gt;&lt;citation.key21&gt;Id._Pattern&lt;/citation.key21&gt;&lt;citation.value21&gt;IdGraph.IdGraph&lt;/citation.value21&gt;&lt;citation.key22&gt;NY L Paren&lt;/citation.key22&gt;&lt;citation.value22&gt;(&lt;/citation.value22&gt;&lt;citation.key23&gt;NY R Paren&lt;/citation.key23&gt;&lt;citation.value23&gt;)&lt;/citation.value23&gt;&lt;citation.key24&gt;Reporter&lt;/citation.key24&gt;&lt;citation.value24&gt;519 U.S. 337, 340&lt;/citation.value24&gt;&lt;citation.key25&gt;Reporter.FirstPage&lt;/citation.key25&gt;&lt;citation.value25&gt;337&lt;/citation.value25&gt;&lt;citation.key26&gt;Reporter.Name&lt;/citation.key26&gt;&lt;citation.value26&gt;U.S.&lt;/citation.value26&gt;&lt;citation.key27&gt;Reporter.RequiredComma&lt;/citation.key27&gt;&lt;citation.value27&gt;, &lt;/citation.value27&gt;&lt;citation.key28&gt;Reporter.RequiredComma.Comma&lt;/citation.key28&gt;&lt;citation.value28&gt;,&lt;/citation.value28&gt;&lt;citation.key29&gt;Reporter.RequiredComma._Pattern&lt;/citation.key29&gt;&lt;citation.value29&gt;RequiredComma.RequiredComma&lt;/citation.value29&gt;&lt;citation.key30&gt;Reporter.Volume&lt;/citation.key30&gt;&lt;citation.value30&gt;519&lt;/citation.value30&gt;&lt;citation.key31&gt;Reporter.[&lt;/citation.key31&gt;&lt;citation.value31&gt;[&lt;/citation.value31&gt;&lt;citation.key32&gt;Reporter.]&lt;/citation.key32&gt;&lt;citation.value32&gt;]&lt;/citation.value32&gt;&lt;citation.key33&gt;Reporter._Pattern&lt;/citation.key33&gt;&lt;citation.value33&gt;Reporter.Reporter&lt;/citation.value33&gt;&lt;citation.key34&gt;Reporter.__PinPages&lt;/citation.key34&gt;&lt;citation.value34&gt;340&lt;/citation.value34&gt;&lt;citation.key35&gt;Reporter.__PinPages.First&lt;/citation.key35&gt;&lt;citation.value35&gt;340&lt;/citation.value35&gt;&lt;citation.key36&gt;Reporter.__PinPages.First._Pattern&lt;/citation.key36&gt;&lt;citation.value36&gt;FirstPageInRange.FirstPageInRange&lt;/citation.value36&gt;&lt;citation.key37&gt;Reporter.__PinPages.First.__PageNumber&lt;/citation.key37&gt;&lt;citation.value37&gt;340&lt;/citation.value37&gt;&lt;citation.key38&gt;Reporter.__PinPages._Pattern&lt;/citation.key38&gt;&lt;citation.value38&gt;PinPages.PinPages&lt;/citation.value38&gt;&lt;citation.key39&gt;Reporter.page&lt;/citation.key39&gt;&lt;citation.value39&gt;page&lt;/citation.value39&gt;&lt;citation.key40&gt;RequiredComma&lt;/citation.key40&gt;&lt;citation.value40&gt;, &lt;/citation.value40&gt;&lt;citation.key41&gt;RequiredComma._Pattern&lt;/citation.key41&gt;&lt;citation.value41&gt;RequiredComma.RequiredComma&lt;/citation.value41&gt;&lt;citation.key42&gt;SecondParty&lt;/citation.key42&gt;&lt;citation.value42&gt;Shell Oil Co. &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key47&gt;v&lt;/citation.key47&gt;&lt;citation.value47&gt;v.&lt;/citation.value47&gt;&lt;/citation&gt;_x000a_"/>
    <w:docVar w:name="CITRUS_BOOKMARK30[0]" w:val="&lt;#1&gt;&lt;citation&gt;&lt;citation._original_string&gt;Alaska Airlines, Inc. v. Brock, 480 U.S. 678, 686 (1987)&lt;/citation._original_string&gt;&lt;citation._current_string&gt;Alaska Airlines, Inc. v. Brock, 480 U.S. 678, 686 (1987)&lt;/citation._current_string&gt;&lt;citation._full_string&gt;Alaska Airlines, Inc. v. Brock, 480 U.S. 678, 686 (1987)&lt;/citation._full_string&gt;&lt;citation._current_format&gt;Full.CaseCitation&lt;/citation._current_format&gt;&lt;citation.name&gt;&lt;/citation.name&gt;&lt;citation.key0&gt;,&lt;/citation.key0&gt;&lt;citation.value0&gt;,&lt;/citation.value0&gt;&lt;citation.key1&gt;CaseName.FirstParty.Party&lt;/citation.key1&gt;&lt;citation.value1&gt;Alaska Airlines, Inc.&lt;/citation.value1&gt;&lt;citation.key2&gt;CaseName.FirstParty._Pattern&lt;/citation.key2&gt;&lt;citation.value2&gt;Party.Party&lt;/citation.value2&gt;&lt;citation.key3&gt;CaseName.SecondParty.Party&lt;/citation.key3&gt;&lt;citation.value3&gt;Brock&lt;/citation.value3&gt;&lt;citation.key4&gt;CaseName.SecondParty._Pattern&lt;/citation.key4&gt;&lt;citation.value4&gt;Party.Party&lt;/citation.value4&gt;&lt;citation.key5&gt;CourtParenthetical&lt;/citation.key5&gt;&lt;citation.value5&gt; (1987) &lt;/citation.value5&gt;&lt;citation.key6&gt;CourtParenthetical.Date.Year.Year&lt;/citation.key6&gt;&lt;citation.value6&gt;198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Alaska Airlines, Inc.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80 U.S. 678, 686&lt;/citation.value23&gt;&lt;citation.key24&gt;Reporter.FirstPage&lt;/citation.key24&gt;&lt;citation.value24&gt;678&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8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686&lt;/citation.value33&gt;&lt;citation.key34&gt;Reporter.__PinPages.First&lt;/citation.key34&gt;&lt;citation.value34&gt;686&lt;/citation.value34&gt;&lt;citation.key35&gt;Reporter.__PinPages.First._Pattern&lt;/citation.key35&gt;&lt;citation.value35&gt;FirstPageInRange.FirstPageInRange&lt;/citation.value35&gt;&lt;citation.key36&gt;Reporter.__PinPages.First.__PageNumber&lt;/citation.key36&gt;&lt;citation.value36&gt;686&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Brock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34[0]" w:val="&lt;#1&gt;&lt;citation&gt;&lt;citation._original_string&gt;Robinson v. Shell Oil Co., 519 U.S. 337, 341 (1997)&lt;/citation._original_string&gt;&lt;citation._current_string&gt;Robinson, 519 U.S. at 341&lt;/citation._current_string&gt;&lt;citation._full_string&gt;Robinson v. Shell Oil Co., 519 U.S. 337, 341 (1997)&lt;/citation._full_string&gt;&lt;citation._current_format&gt;Short.ShortCaseCite&lt;/citation._current_format&gt;&lt;citation.name&gt;&lt;/citation.name&gt;&lt;citation.key0&gt;,&lt;/citation.key0&gt;&lt;citation.value0&gt;,&lt;/citation.value0&gt;&lt;citation.key1&gt;CaseName&lt;/citation.key1&gt;&lt;citation.value1&gt;Robinson v. Shell Oil Co. &lt;/citation.value1&gt;&lt;citation.key2&gt;CaseName.FirstParty&lt;/citation.key2&gt;&lt;citation.value2&gt;Robinson &lt;/citation.value2&gt;&lt;citation.key3&gt;CaseName.FirstParty.Party&lt;/citation.key3&gt;&lt;citation.value3&gt;Robinson&lt;/citation.value3&gt;&lt;citation.key4&gt;CaseName.FirstParty._Pattern&lt;/citation.key4&gt;&lt;citation.value4&gt;Party.Party&lt;/citation.value4&gt;&lt;citation.key5&gt;CaseName.SecondParty&lt;/citation.key5&gt;&lt;citation.value5&gt;Shell Oil Co. &lt;/citation.value5&gt;&lt;citation.key6&gt;CaseName.SecondParty.Party&lt;/citation.key6&gt;&lt;citation.value6&gt;Shell Oil Co.&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7) &lt;/citation.value10&gt;&lt;citation.key11&gt;CourtParenthetical.Date&lt;/citation.key11&gt;&lt;citation.value11&gt;1997 &lt;/citation.value11&gt;&lt;citation.key12&gt;CourtParenthetical.Date.Year&lt;/citation.key12&gt;&lt;citation.value12&gt;1997 &lt;/citation.value12&gt;&lt;citation.key13&gt;CourtParenthetical.Date.Year.Year&lt;/citation.key13&gt;&lt;citation.value13&gt;199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Robinson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19 U.S. 337, 341&lt;/citation.value30&gt;&lt;citation.key31&gt;Reporter.FirstPage&lt;/citation.key31&gt;&lt;citation.value31&gt;33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1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341&lt;/citation.value40&gt;&lt;citation.key41&gt;Reporter.__PinPages.First&lt;/citation.key41&gt;&lt;citation.value41&gt;341&lt;/citation.value41&gt;&lt;citation.key42&gt;Reporter.__PinPages.First._Pattern&lt;/citation.key42&gt;&lt;citation.value42&gt;FirstPageInRange.FirstPageInRange&lt;/citation.value42&gt;&lt;citation.key43&gt;Reporter.__PinPages.First.__PageNumber&lt;/citation.key43&gt;&lt;citation.value43&gt;34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Shell Oil Co.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40[0]" w:val="&lt;#1&gt;&lt;citation&gt;&lt;citation._original_string&gt;See Conn. Nat'l Bank v. Germain, 503 U.S. 249 (1992)&lt;/citation._original_string&gt;&lt;citation._current_string&gt;see Conn. Nat'l Bank v. Germain, 503 U.S. 249 (1992)&lt;/citation._current_string&gt;&lt;citation._full_string&gt;see Conn. Nat'l Bank v. Germain, 503 U.S. 249 (1992)&lt;/citation._full_string&gt;&lt;citation._current_format&gt;Full.CaseCitation&lt;/citation._current_format&gt;&lt;citation.name&gt;&lt;/citation.name&gt;&lt;citation.key0&gt;,&lt;/citation.key0&gt;&lt;citation.value0&gt;,&lt;/citation.value0&gt;&lt;citation.key1&gt;CaseName&lt;/citation.key1&gt;&lt;citation.value1&gt;Conn. Nat'l Bank v. Germain &lt;/citation.value1&gt;&lt;citation.key2&gt;CaseName.FirstParty&lt;/citation.key2&gt;&lt;citation.value2&gt;Conn. Nat'l Bank &lt;/citation.value2&gt;&lt;citation.key3&gt;CaseName.FirstParty.Party&lt;/citation.key3&gt;&lt;citation.value3&gt;Connecticut National Bank&lt;/citation.value3&gt;&lt;citation.key4&gt;CaseName.FirstParty._Pattern&lt;/citation.key4&gt;&lt;citation.value4&gt;Party.Party&lt;/citation.value4&gt;&lt;citation.key5&gt;CaseName.SecondParty&lt;/citation.key5&gt;&lt;citation.value5&gt;Germain &lt;/citation.value5&gt;&lt;citation.key6&gt;CaseName.SecondParty.Party&lt;/citation.key6&gt;&lt;citation.value6&gt;Germai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2) &lt;/citation.value10&gt;&lt;citation.key11&gt;CourtParenthetical.Date&lt;/citation.key11&gt;&lt;citation.value11&gt;1992 &lt;/citation.value11&gt;&lt;citation.key12&gt;CourtParenthetical.Date.Year&lt;/citation.key12&gt;&lt;citation.value12&gt;1992 &lt;/citation.value12&gt;&lt;citation.key13&gt;CourtParenthetical.Date.Year.Year&lt;/citation.key13&gt;&lt;citation.value13&gt;1992&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onn. Nat'l Bank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03 U.S. 249 &lt;/citation.value30&gt;&lt;citation.key31&gt;Reporter.FirstPage&lt;/citation.key31&gt;&lt;citation.value31&gt;249&lt;/citation.value31&gt;&lt;citation.key32&gt;Reporter.Name&lt;/citation.key32&gt;&lt;citation.value32&gt;U.S.&lt;/citation.value32&gt;&lt;citation.key33&gt;Reporter.Volume&lt;/citation.key33&gt;&lt;citation.value33&gt;503&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Germain &lt;/citation.value41&gt;&lt;citation.key42&gt;__Signal&lt;/citation.key42&gt;&lt;citation.value42&gt;see &lt;/citation.value42&gt;&lt;citation.key43&gt;__Signal.ForbiddenComma._Pattern&lt;/citation.key43&gt;&lt;citation.value43&gt;ForbiddenComma.ForbiddenComma&lt;/citation.value43&gt;&lt;citation.key44&gt;__Signal.See&lt;/citation.key44&gt;&lt;citation.value44&gt;see&lt;/citation.value44&gt;&lt;citation.key45&gt;__Signal._Pattern&lt;/citation.key45&gt;&lt;citation.value45&gt;Signal.Signal&lt;/citation.value45&gt;&lt;citation.key46&gt;supra&lt;/citation.key46&gt;&lt;citation.value46&gt;&lt;/citation.value46&gt;&lt;citation.key47&gt;supra.,&lt;/citation.key47&gt;&lt;citation.value47&gt;, &lt;/citation.value47&gt;&lt;citation.key48&gt;supra._Pattern&lt;/citation.key48&gt;&lt;citation.value48&gt;ShortCaseSupra.ShortCaseSupra&lt;/citation.value48&gt;&lt;citation.key49&gt;supra.supra&lt;/citation.key49&gt;&lt;citation.value49&gt;supra&lt;/citation.value49&gt;&lt;citation.key50&gt;v&lt;/citation.key50&gt;&lt;citation.value50&gt;v.&lt;/citation.value50&gt;&lt;/citation&gt;_x000a_"/>
    <w:docVar w:name="CITRUS_BOOKMARK50[0]" w:val="&lt;#1&gt;&lt;citation&gt;&lt;citation._original_string&gt;Smith v. United States, 508 U.S. 223, 239 (1993) (internal quotation marks and brackets omitted)&lt;/citation._original_string&gt;&lt;citation._current_string&gt;Smith v. United States, 508 U.S. 223, 239 (1993) (internal quotation marks and brackets omitted)&lt;/citation._current_string&gt;&lt;citation._full_string&gt;Smith v. United States, 508 U.S. 223, 239 (1993) (internal quotation marks and brackets omitted)&lt;/citation._full_string&gt;&lt;citation._current_format&gt;Full.CaseCitation&lt;/citation._current_format&gt;&lt;citation.name&gt;&lt;/citation.name&gt;&lt;citation.key0&gt;,&lt;/citation.key0&gt;&lt;citation.value0&gt;,&lt;/citation.value0&gt;&lt;citation.key1&gt;CaseName.FirstParty.Party&lt;/citation.key1&gt;&lt;citation.value1&gt;Smith&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93) &lt;/citation.value5&gt;&lt;citation.key6&gt;CourtParenthetical.Date.Year.Year&lt;/citation.key6&gt;&lt;citation.value6&gt;1993&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Smith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Parenthetical&lt;/citation.key23&gt;&lt;citation.value23&gt; (internal quotation marks and brackets omitted) &lt;/citation.value23&gt;&lt;citation.key24&gt;Parenthetical.([&lt;/citation.key24&gt;&lt;citation.value24&gt; (&lt;/citation.value24&gt;&lt;citation.key25&gt;Parenthetical.([.(&lt;/citation.key25&gt;&lt;citation.value25&gt;(&lt;/citation.value25&gt;&lt;citation.key26&gt;Parenthetical.([._Pattern&lt;/citation.key26&gt;&lt;citation.value26&gt;([.([&lt;/citation.value26&gt;&lt;citation.key27&gt;Parenthetical.])&lt;/citation.key27&gt;&lt;citation.value27&gt;) &lt;/citation.value27&gt;&lt;citation.key28&gt;Parenthetical.]).)&lt;/citation.key28&gt;&lt;citation.value28&gt;)&lt;/citation.value28&gt;&lt;citation.key29&gt;Parenthetical.])._Pattern&lt;/citation.key29&gt;&lt;citation.value29&gt;]).])&lt;/citation.value29&gt;&lt;citation.key30&gt;Parenthetical._Pattern&lt;/citation.key30&gt;&lt;citation.value30&gt;Parenthetical.Parenthetical&lt;/citation.value30&gt;&lt;citation.key31&gt;Parenthetical.__OtherReasonableExplanation&lt;/citation.key31&gt;&lt;citation.value31&gt;internal quotation marks and brackets omitted&lt;/citation.value31&gt;&lt;citation.key32&gt;Reporter&lt;/citation.key32&gt;&lt;citation.value32&gt;508 U.S. 223, 239&lt;/citation.value32&gt;&lt;citation.key33&gt;Reporter.FirstPage&lt;/citation.key33&gt;&lt;citation.value33&gt;223&lt;/citation.value33&gt;&lt;citation.key34&gt;Reporter.Name&lt;/citation.key34&gt;&lt;citation.value34&gt;U.S.&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08&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239&lt;/citation.value42&gt;&lt;citation.key43&gt;Reporter.__PinPages.First&lt;/citation.key43&gt;&lt;citation.value43&gt;239&lt;/citation.value43&gt;&lt;citation.key44&gt;Reporter.__PinPages.First._Pattern&lt;/citation.key44&gt;&lt;citation.value44&gt;FirstPageInRange.FirstPageInRange&lt;/citation.value44&gt;&lt;citation.key45&gt;Reporter.__PinPages.First.__PageNumber&lt;/citation.key45&gt;&lt;citation.value45&gt;239&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_Pattern&lt;/citation.key49&gt;&lt;citation.value49&gt;RequiredComma.RequiredComma&lt;/citation.value49&gt;&lt;citation.key50&gt;SecondParty&lt;/citation.key50&gt;&lt;citation.value50&gt;United States &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key55&gt;v&lt;/citation.key55&gt;&lt;citation.value55&gt;v.&lt;/citation.value55&gt;&lt;/citation&gt;_x000a_"/>
    <w:docVar w:name="CITRUS_BOOKMARK51[0]" w:val="&lt;#1&gt;&lt;citation&gt;&lt;citation._original_string&gt;Ladner v. United States, 358 U.S. 169, 178 (1958)&lt;/citation._original_string&gt;&lt;citation._current_string&gt;Ladner v. United States, 358 U.S. 169, 178 (1958)&lt;/citation._current_string&gt;&lt;citation._full_string&gt;Ladner v. United States, 358 U.S. 169, 178 (1958)&lt;/citation._full_string&gt;&lt;citation._current_format&gt;Full.CaseCitation&lt;/citation._current_format&gt;&lt;citation.name&gt;&lt;/citation.name&gt;&lt;citation.key0&gt;,&lt;/citation.key0&gt;&lt;citation.value0&gt;,&lt;/citation.value0&gt;&lt;citation.key1&gt;CaseName.FirstParty.Party&lt;/citation.key1&gt;&lt;citation.value1&gt;Ladner&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58) &lt;/citation.value5&gt;&lt;citation.key6&gt;CourtParenthetical.Date.Year.Year&lt;/citation.key6&gt;&lt;citation.value6&gt;1958&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Ladner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358 U.S. 169, 178&lt;/citation.value23&gt;&lt;citation.key24&gt;Reporter.FirstPage&lt;/citation.key24&gt;&lt;citation.value24&gt;169&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358&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78&lt;/citation.value33&gt;&lt;citation.key34&gt;Reporter.__PinPages.First&lt;/citation.key34&gt;&lt;citation.value34&gt;178&lt;/citation.value34&gt;&lt;citation.key35&gt;Reporter.__PinPages.First._Pattern&lt;/citation.key35&gt;&lt;citation.value35&gt;FirstPageInRange.FirstPageInRange&lt;/citation.value35&gt;&lt;citation.key36&gt;Reporter.__PinPages.First.__PageNumber&lt;/citation.key36&gt;&lt;citation.value36&gt;178&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52[0]" w:val="&lt;#1&gt;&lt;citation&gt;&lt;citation._original_string&gt;Reno v. Koray, 515 U.S. 50, 65 (1995)&lt;/citation._original_string&gt;&lt;citation._current_string&gt;Reno v. Koray, 515 U.S. 50, 65 (1995)&lt;/citation._current_string&gt;&lt;citation._full_string&gt;Reno v. Koray, 515 U.S. 50, 65 (1995)&lt;/citation._full_string&gt;&lt;citation._current_format&gt;Full.CaseCitation&lt;/citation._current_format&gt;&lt;citation.name&gt;&lt;/citation.name&gt;&lt;citation.key0&gt;,&lt;/citation.key0&gt;&lt;citation.value0&gt;,&lt;/citation.value0&gt;&lt;citation.key1&gt;CaseName.FirstParty.Party&lt;/citation.key1&gt;&lt;citation.value1&gt;Reno&lt;/citation.value1&gt;&lt;citation.key2&gt;CaseName.FirstParty._Pattern&lt;/citation.key2&gt;&lt;citation.value2&gt;Party.Party&lt;/citation.value2&gt;&lt;citation.key3&gt;CaseName.SecondParty.Party&lt;/citation.key3&gt;&lt;citation.value3&gt;Koray&lt;/citation.value3&gt;&lt;citation.key4&gt;CaseName.SecondParty._Pattern&lt;/citation.key4&gt;&lt;citation.value4&gt;Party.Party&lt;/citation.value4&gt;&lt;citation.key5&gt;CourtParenthetical&lt;/citation.key5&gt;&lt;citation.value5&gt; (1995) &lt;/citation.value5&gt;&lt;citation.key6&gt;CourtParenthetical.Date.Year.Year&lt;/citation.key6&gt;&lt;citation.value6&gt;199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Reno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15 U.S. 50, 65&lt;/citation.value23&gt;&lt;citation.key24&gt;Reporter.FirstPage&lt;/citation.key24&gt;&lt;citation.value24&gt;50&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15&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65&lt;/citation.value33&gt;&lt;citation.key34&gt;Reporter.__PinPages.First&lt;/citation.key34&gt;&lt;citation.value34&gt;65&lt;/citation.value34&gt;&lt;citation.key35&gt;Reporter.__PinPages.First._Pattern&lt;/citation.key35&gt;&lt;citation.value35&gt;FirstPageInRange.FirstPageInRange&lt;/citation.value35&gt;&lt;citation.key36&gt;Reporter.__PinPages.First.__PageNumber&lt;/citation.key36&gt;&lt;citation.value36&gt;65&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Koray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53[0]" w:val="&lt;#1&gt;&lt;citation&gt;&lt;citation._original_string&gt;Robinson v. Shell Oil Co., 519 U.S. 337, 340 (1997)&lt;/citation._original_string&gt;&lt;citation._current_string&gt;Robinson, 519 U.S. at 340&lt;/citation._current_string&gt;&lt;citation._full_string&gt;Robinson v. Shell Oil Co., 519 U.S. 337, 340 (1997)&lt;/citation._full_string&gt;&lt;citation._current_format&gt;Short.ShortCaseCite&lt;/citation._current_format&gt;&lt;citation.name&gt;&lt;/citation.name&gt;&lt;citation.key0&gt;,&lt;/citation.key0&gt;&lt;citation.value0&gt;,&lt;/citation.value0&gt;&lt;citation.key1&gt;CaseName&lt;/citation.key1&gt;&lt;citation.value1&gt;Robinson v. Shell Oil Co. &lt;/citation.value1&gt;&lt;citation.key2&gt;CaseName.FirstParty&lt;/citation.key2&gt;&lt;citation.value2&gt;Robinson &lt;/citation.value2&gt;&lt;citation.key3&gt;CaseName.FirstParty.Party&lt;/citation.key3&gt;&lt;citation.value3&gt;Robinson&lt;/citation.value3&gt;&lt;citation.key4&gt;CaseName.FirstParty._Pattern&lt;/citation.key4&gt;&lt;citation.value4&gt;Party.Party&lt;/citation.value4&gt;&lt;citation.key5&gt;CaseName.SecondParty&lt;/citation.key5&gt;&lt;citation.value5&gt;Shell Oil Co. &lt;/citation.value5&gt;&lt;citation.key6&gt;CaseName.SecondParty.Party&lt;/citation.key6&gt;&lt;citation.value6&gt;Shell Oil Co.&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7) &lt;/citation.value10&gt;&lt;citation.key11&gt;CourtParenthetical.Date&lt;/citation.key11&gt;&lt;citation.value11&gt;1997 &lt;/citation.value11&gt;&lt;citation.key12&gt;CourtParenthetical.Date.Year&lt;/citation.key12&gt;&lt;citation.value12&gt;1997 &lt;/citation.value12&gt;&lt;citation.key13&gt;CourtParenthetical.Date.Year.Year&lt;/citation.key13&gt;&lt;citation.value13&gt;199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Robinson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19 U.S. 337, 340&lt;/citation.value30&gt;&lt;citation.key31&gt;Reporter.FirstPage&lt;/citation.key31&gt;&lt;citation.value31&gt;33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1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340&lt;/citation.value40&gt;&lt;citation.key41&gt;Reporter.__PinPages.First&lt;/citation.key41&gt;&lt;citation.value41&gt;340&lt;/citation.value41&gt;&lt;citation.key42&gt;Reporter.__PinPages.First._Pattern&lt;/citation.key42&gt;&lt;citation.value42&gt;FirstPageInRange.FirstPageInRange&lt;/citation.value42&gt;&lt;citation.key43&gt;Reporter.__PinPages.First.__PageNumber&lt;/citation.key43&gt;&lt;citation.value43&gt;340&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Shell Oil Co.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56[0]" w:val="&lt;#1&gt;&lt;citation&gt;&lt;citation._original_string&gt;Holy Trinity Church v. United States, 143 U.S. 457 (1892)&lt;/citation._original_string&gt;&lt;citation._current_string&gt;Church of Holy Trinity v. United States, 143 U.S. 457 (1892)&lt;/citation._current_string&gt;&lt;citation._full_string&gt;Church of Holy Trinity v. United States, 143 U.S. 457 (1892)&lt;/citation._full_string&gt;&lt;citation._current_format&gt;Full.CaseCitation&lt;/citation._current_format&gt;&lt;citation.name&gt;&lt;/citation.name&gt;&lt;citation.key0&gt;,&lt;/citation.key0&gt;&lt;citation.value0&gt;,&lt;/citation.value0&gt;&lt;citation.key1&gt;CaseName.FirstParty.Party&lt;/citation.key1&gt;&lt;citation.value1&gt;Church of Holy Trinity&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892) &lt;/citation.value5&gt;&lt;citation.key6&gt;CourtParenthetical.Date.Year.Year&lt;/citation.key6&gt;&lt;citation.value6&gt;1892&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hurch of Holy Trinity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143 U.S. 457 &lt;/citation.value23&gt;&lt;citation.key24&gt;Reporter.FirstPage&lt;/citation.key24&gt;&lt;citation.value24&gt;457&lt;/citation.value24&gt;&lt;citation.key25&gt;Reporter.Name&lt;/citation.key25&gt;&lt;citation.value25&gt;U.S.&lt;/citation.value25&gt;&lt;citation.key26&gt;Reporter.Volume&lt;/citation.key26&gt;&lt;citation.value26&gt;143&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econdParty&lt;/citation.key33&gt;&lt;citation.value33&gt;United States &lt;/citation.value33&gt;&lt;citation.key34&gt;supra&lt;/citation.key34&gt;&lt;citation.value34&gt;&lt;/citation.value34&gt;&lt;citation.key35&gt;supra.,&lt;/citation.key35&gt;&lt;citation.value35&gt;, &lt;/citation.value35&gt;&lt;citation.key36&gt;supra._Pattern&lt;/citation.key36&gt;&lt;citation.value36&gt;ShortCaseSupra.ShortCaseSupra&lt;/citation.value36&gt;&lt;citation.key37&gt;supra.supra&lt;/citation.key37&gt;&lt;citation.value37&gt;supra&lt;/citation.value37&gt;&lt;citation.key38&gt;v&lt;/citation.key38&gt;&lt;citation.value38&gt;v.&lt;/citation.value38&gt;&lt;/citation&gt;_x000a_"/>
    <w:docVar w:name="CITRUS_BOOKMARK57[0]" w:val="&lt;#1&gt;&lt;citation&gt;&lt;citation._original_string&gt;Kelly v. Robinson, 479 U.S. 36, 43 (1986)&lt;/citation._original_string&gt;&lt;citation._current_string&gt;Kelly v. Robinson, 479 U.S. 36, 43 (1986)&lt;/citation._current_string&gt;&lt;citation._full_string&gt;Kelly v. Robinson, 479 U.S. 36, 43 (1986)&lt;/citation._full_string&gt;&lt;citation._current_format&gt;Full.CaseCitation&lt;/citation._current_format&gt;&lt;citation.name&gt;&lt;/citation.name&gt;&lt;citation.key0&gt;,&lt;/citation.key0&gt;&lt;citation.value0&gt;,&lt;/citation.value0&gt;&lt;citation.key1&gt;CaseName.FirstParty.Party&lt;/citation.key1&gt;&lt;citation.value1&gt;Kelly&lt;/citation.value1&gt;&lt;citation.key2&gt;CaseName.FirstParty._Pattern&lt;/citation.key2&gt;&lt;citation.value2&gt;Party.Party&lt;/citation.value2&gt;&lt;citation.key3&gt;CaseName.SecondParty.Party&lt;/citation.key3&gt;&lt;citation.value3&gt;Robinson&lt;/citation.value3&gt;&lt;citation.key4&gt;CaseName.SecondParty._Pattern&lt;/citation.key4&gt;&lt;citation.value4&gt;Party.Party&lt;/citation.value4&gt;&lt;citation.key5&gt;CourtParenthetical&lt;/citation.key5&gt;&lt;citation.value5&gt; (1986) &lt;/citation.value5&gt;&lt;citation.key6&gt;CourtParenthetical.Date.Year.Year&lt;/citation.key6&gt;&lt;citation.value6&gt;1986&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Kelly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79 U.S. 36, 43&lt;/citation.value23&gt;&lt;citation.key24&gt;Reporter.FirstPage&lt;/citation.key24&gt;&lt;citation.value24&gt;36&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79&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43&lt;/citation.value33&gt;&lt;citation.key34&gt;Reporter.__PinPages.First&lt;/citation.key34&gt;&lt;citation.value34&gt;43&lt;/citation.value34&gt;&lt;citation.key35&gt;Reporter.__PinPages.First._Pattern&lt;/citation.key35&gt;&lt;citation.value35&gt;FirstPageInRange.FirstPageInRange&lt;/citation.value35&gt;&lt;citation.key36&gt;Reporter.__PinPages.First.__PageNumber&lt;/citation.key36&gt;&lt;citation.value36&gt;43&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Robinson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66[0]" w:val="&lt;#1&gt;&lt;citation&gt;&lt;citation._original_string&gt;Blum v. Stenson, 465 U.S. 886, 896 (1984)&lt;/citation._original_string&gt;&lt;citation._current_string&gt;Blum v. Stenson, 465 U.S. 886, 896 (1984)&lt;/citation._current_string&gt;&lt;citation._full_string&gt;Blum v. Stenson, 465 U.S. 886, 896 (1984)&lt;/citation._full_string&gt;&lt;citation._current_format&gt;Full.CaseCitation&lt;/citation._current_format&gt;&lt;citation.name&gt;&lt;/citation.name&gt;&lt;citation.key0&gt;,&lt;/citation.key0&gt;&lt;citation.value0&gt;,&lt;/citation.value0&gt;&lt;citation.key1&gt;CaseName.FirstParty.Party&lt;/citation.key1&gt;&lt;citation.value1&gt;Blum&lt;/citation.value1&gt;&lt;citation.key2&gt;CaseName.FirstParty._Pattern&lt;/citation.key2&gt;&lt;citation.value2&gt;Party.Party&lt;/citation.value2&gt;&lt;citation.key3&gt;CaseName.SecondParty.Party&lt;/citation.key3&gt;&lt;citation.value3&gt;Stenson&lt;/citation.value3&gt;&lt;citation.key4&gt;CaseName.SecondParty._Pattern&lt;/citation.key4&gt;&lt;citation.value4&gt;Party.Party&lt;/citation.value4&gt;&lt;citation.key5&gt;CourtParenthetical&lt;/citation.key5&gt;&lt;citation.value5&gt; (1984) &lt;/citation.value5&gt;&lt;citation.key6&gt;CourtParenthetical.Date.Year.Year&lt;/citation.key6&gt;&lt;citation.value6&gt;1984&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Blum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65 U.S. 886, 896&lt;/citation.value23&gt;&lt;citation.key24&gt;Reporter.FirstPage&lt;/citation.key24&gt;&lt;citation.value24&gt;886&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65&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896&lt;/citation.value33&gt;&lt;citation.key34&gt;Reporter.__PinPages.First&lt;/citation.key34&gt;&lt;citation.value34&gt;896&lt;/citation.value34&gt;&lt;citation.key35&gt;Reporter.__PinPages.First._Pattern&lt;/citation.key35&gt;&lt;citation.value35&gt;FirstPageInRange.FirstPageInRange&lt;/citation.value35&gt;&lt;citation.key36&gt;Reporter.__PinPages.First.__PageNumber&lt;/citation.key36&gt;&lt;citation.value36&gt;896&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Stenson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72[0]" w:val="&lt;#1&gt;&lt;citation&gt;&lt;citation._original_string&gt;Respondents., 1995 WL 17048780 (U.S.)&lt;/citation._original_string&gt;&lt;citation._current_string&gt;Respondents., 1995 WL 17048780 (U.S. 1995)&lt;/citation._current_string&gt;&lt;citation._full_string&gt;Respondents., , 1995 WL 17048780 (U.S. 1995)&lt;/citation._full_string&gt;&lt;citation._current_format&gt;Full.UnreportedCaseCitation&lt;/citation._current_format&gt;&lt;citation.name&gt;&lt;/citation.name&gt;&lt;citation.key0&gt;CaseName&lt;/citation.key0&gt;&lt;citation.value0&gt;Respondents. &lt;/citation.value0&gt;&lt;citation.key1&gt;CaseName.FirstParty&lt;/citation.key1&gt;&lt;citation.value1&gt;Respondents. &lt;/citation.value1&gt;&lt;citation.key2&gt;CaseName.FirstParty.Party&lt;/citation.key2&gt;&lt;citation.value2&gt;Respondents.&lt;/citation.value2&gt;&lt;citation.key3&gt;CaseName.FirstParty._Pattern&lt;/citation.key3&gt;&lt;citation.value3&gt;Party.Party&lt;/citation.value3&gt;&lt;citation.key4&gt;CaseName._Pattern&lt;/citation.key4&gt;&lt;citation.value4&gt;CaseName.CaseName&lt;/citation.value4&gt;&lt;citation.key5&gt;CourtParenthetical&lt;/citation.key5&gt;&lt;citation.value5&gt; (U.S. 1995) &lt;/citation.value5&gt;&lt;citation.key6&gt;CourtParenthetical.(&lt;/citation.key6&gt;&lt;citation.value6&gt;(&lt;/citation.value6&gt;&lt;citation.key7&gt;CourtParenthetical.)&lt;/citation.key7&gt;&lt;citation.value7&gt;)&lt;/citation.value7&gt;&lt;citation.key8&gt;CourtParenthetical.CourtName&lt;/citation.key8&gt;&lt;citation.value8&gt;U.S. &lt;/citation.value8&gt;&lt;citation.key9&gt;CourtParenthetical.CourtName.CourtName&lt;/citation.key9&gt;&lt;citation.value9&gt;U.S.&lt;/citation.value9&gt;&lt;citation.key10&gt;CourtParenthetical.CourtName._Pattern&lt;/citation.key10&gt;&lt;citation.value10&gt;CourtName.CourtName&lt;/citation.value10&gt;&lt;citation.key11&gt;CourtParenthetical.Date&lt;/citation.key11&gt;&lt;citation.value11&gt;1995&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RequiredComma._Pattern&lt;/citation.key27&gt;&lt;citation.value27&gt;RequiredComma.RequiredComma&lt;/citation.value27&gt;&lt;citation.key28&gt;UnreportedCase&lt;/citation.key28&gt;&lt;citation.value28&gt;, 1995 WL 17048780 &lt;/citation.value28&gt;&lt;citation.key29&gt;UnreportedCase.,&lt;/citation.key29&gt;&lt;citation.value29&gt;,&lt;/citation.value29&gt;&lt;citation.key30&gt;UnreportedCase.Database&lt;/citation.key30&gt;&lt;citation.value30&gt;1995 WL 17048780 &lt;/citation.value30&gt;&lt;citation.key31&gt;UnreportedCase.Database.DBReference&lt;/citation.key31&gt;&lt;citation.value31&gt;1995 WL 17048780 &lt;/citation.value31&gt;&lt;citation.key32&gt;UnreportedCase.Database.DBReference.DBNumber&lt;/citation.key32&gt;&lt;citation.value32&gt;17048780&lt;/citation.value32&gt;&lt;citation.key33&gt;UnreportedCase.Database.DBReference.WL&lt;/citation.key33&gt;&lt;citation.value33&gt;WL&lt;/citation.value33&gt;&lt;citation.key34&gt;UnreportedCase.Database.DBReference.Year&lt;/citation.key34&gt;&lt;citation.value34&gt;1995 &lt;/citation.value34&gt;&lt;citation.key35&gt;UnreportedCase.Database.DBReference.Year.Year&lt;/citation.key35&gt;&lt;citation.value35&gt;1995&lt;/citation.value35&gt;&lt;citation.key36&gt;UnreportedCase.Database.DBReference.Year._Pattern&lt;/citation.key36&gt;&lt;citation.value36&gt;Year.Year&lt;/citation.value36&gt;&lt;citation.key37&gt;UnreportedCase.Database.DBReference._Pattern&lt;/citation.key37&gt;&lt;citation.value37&gt;Case_DatabaseReference.Case_DatabaseReference&lt;/citation.value37&gt;&lt;citation.key38&gt;UnreportedCase.Database._Pattern&lt;/citation.key38&gt;&lt;citation.value38&gt;Case_DatabaseList.Case_DatabaseList&lt;/citation.value38&gt;&lt;citation.key39&gt;UnreportedCase._Pattern&lt;/citation.key39&gt;&lt;citation.value39&gt;UnreportedCase.UnreportedCase&lt;/citation.value39&gt;&lt;/citation&gt;_x000a_"/>
    <w:docVar w:name="CITRUS_BOOKMARK74[0]" w:val="&lt;#1&gt;&lt;citation&gt;&lt;citation._original_string&gt;See Monessen Sw. R.R. v. Morgan, 486 U.S. 330, 339 n.8 (1988)&lt;/citation._original_string&gt;&lt;citation._current_string&gt;See Monessen Sw. R.R. v. Morgan, 486 U.S. 330, 339 n.8 (1988)&lt;/citation._current_string&gt;&lt;citation._full_string&gt;see Monessen Sw. R.R. v. Morgan, 486 U.S. 330, 339 n.8 (1988)&lt;/citation._full_string&gt;&lt;citation._current_format&gt;Full.CaseCitation&lt;/citation._current_format&gt;&lt;citation.name&gt;&lt;/citation.name&gt;&lt;citation.key0&gt;,&lt;/citation.key0&gt;&lt;citation.value0&gt;,&lt;/citation.value0&gt;&lt;citation.key1&gt;CaseName&lt;/citation.key1&gt;&lt;citation.value1&gt;Monessen Sw. R.R. v. Morgan &lt;/citation.value1&gt;&lt;citation.key2&gt;CaseName.FirstParty&lt;/citation.key2&gt;&lt;citation.value2&gt;Monessen Sw. R.R. &lt;/citation.value2&gt;&lt;citation.key3&gt;CaseName.FirstParty.Party&lt;/citation.key3&gt;&lt;citation.value3&gt;Monessen Southwestern Railroad Co.&lt;/citation.value3&gt;&lt;citation.key4&gt;CaseName.FirstParty._Pattern&lt;/citation.key4&gt;&lt;citation.value4&gt;Party.Party&lt;/citation.value4&gt;&lt;citation.key5&gt;CaseName.SecondParty&lt;/citation.key5&gt;&lt;citation.value5&gt;Morgan &lt;/citation.value5&gt;&lt;citation.key6&gt;CaseName.SecondParty.Party&lt;/citation.key6&gt;&lt;citation.value6&gt;Morga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8) &lt;/citation.value10&gt;&lt;citation.key11&gt;CourtParenthetical.Date&lt;/citation.key11&gt;&lt;citation.value11&gt;1988 &lt;/citation.value11&gt;&lt;citation.key12&gt;CourtParenthetical.Date.Year&lt;/citation.key12&gt;&lt;citation.value12&gt;1988 &lt;/citation.value12&gt;&lt;citation.key13&gt;CourtParenthetical.Date.Year.Year&lt;/citation.key13&gt;&lt;citation.value13&gt;1988&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onessen Sw. R.R.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86 U.S. at 339 n.8&lt;/citation.value30&gt;&lt;citation.key31&gt;Reporter.FirstPage&lt;/citation.key31&gt;&lt;citation.value31&gt;330&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86&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339 n.8&lt;/citation.value40&gt;&lt;citation.key41&gt;Reporter.__PinPages.First&lt;/citation.key41&gt;&lt;citation.value41&gt;339&lt;/citation.value41&gt;&lt;citation.key42&gt;Reporter.__PinPages.First._Pattern&lt;/citation.key42&gt;&lt;citation.value42&gt;FirstPageInRange.FirstPageInRange&lt;/citation.value42&gt;&lt;citation.key43&gt;Reporter.__PinPages.First.__PageNumber&lt;/citation.key43&gt;&lt;citation.value43&gt;339&lt;/citation.value43&gt;&lt;citation.key44&gt;Reporter.__PinPages.FnList&lt;/citation.key44&gt;&lt;citation.value44&gt; n.8&lt;/citation.value44&gt;&lt;citation.key45&gt;Reporter.__PinPages.FnList.FirstFn&lt;/citation.key45&gt;&lt;citation.value45&gt;8&lt;/citation.value45&gt;&lt;citation.key46&gt;Reporter.__PinPages.FnList.FirstFn.First&lt;/citation.key46&gt;&lt;citation.value46&gt;8&lt;/citation.value46&gt;&lt;citation.key47&gt;Reporter.__PinPages.FnList.FirstFn.First.ArabicFn&lt;/citation.key47&gt;&lt;citation.value47&gt;8&lt;/citation.value47&gt;&lt;citation.key48&gt;Reporter.__PinPages.FnList.FirstFn.First._Pattern&lt;/citation.key48&gt;&lt;citation.value48&gt;FirstFnNumber.FirstFnNumber&lt;/citation.value48&gt;&lt;citation.key49&gt;Reporter.__PinPages.FnList.FirstFn._Pattern&lt;/citation.key49&gt;&lt;citation.value49&gt;FnScalarOrRange.FnScalarOrRange&lt;/citation.value49&gt;&lt;citation.key50&gt;Reporter.__PinPages.FnList._Pattern&lt;/citation.key50&gt;&lt;citation.value50&gt;FnList.FnList&lt;/citation.value50&gt;&lt;citation.key51&gt;Reporter.__PinPages.FnList.n_or_nn&lt;/citation.key51&gt;&lt;citation.value51&gt;1&lt;/citation.value51&gt;&lt;citation.key52&gt;Reporter.__PinPages._Pattern&lt;/citation.key52&gt;&lt;citation.value52&gt;PinPages.PinPages&lt;/citation.value52&gt;&lt;citation.key53&gt;Reporter.page&lt;/citation.key53&gt;&lt;citation.value53&gt;page&lt;/citation.value53&gt;&lt;citation.key54&gt;RequiredComma&lt;/citation.key54&gt;&lt;citation.value54&gt;, &lt;/citation.value54&gt;&lt;citation.key55&gt;RequiredComma.Comma&lt;/citation.key55&gt;&lt;citation.value55&gt;,&lt;/citation.value55&gt;&lt;citation.key56&gt;RequiredComma._Pattern&lt;/citation.key56&gt;&lt;citation.value56&gt;RequiredComma.RequiredComma&lt;/citation.value56&gt;&lt;citation.key57&gt;SecondParty&lt;/citation.key57&gt;&lt;citation.value57&gt;Morgan &lt;/citation.value57&gt;&lt;citation.key58&gt;__Signal&lt;/citation.key58&gt;&lt;citation.value58&gt;see &lt;/citation.value58&gt;&lt;citation.key59&gt;__Signal.ForbiddenComma._Pattern&lt;/citation.key59&gt;&lt;citation.value59&gt;ForbiddenComma.ForbiddenComma&lt;/citation.value59&gt;&lt;citation.key60&gt;__Signal.See&lt;/citation.key60&gt;&lt;citation.value60&gt;see&lt;/citation.value60&gt;&lt;citation.key61&gt;__Signal._Pattern&lt;/citation.key61&gt;&lt;citation.value61&gt;Signal.Signal&lt;/citation.value61&gt;&lt;citation.key62&gt;supra&lt;/citation.key62&gt;&lt;citation.value62&gt;&lt;/citation.value62&gt;&lt;citation.key63&gt;supra.,&lt;/citation.key63&gt;&lt;citation.value63&gt;, &lt;/citation.value63&gt;&lt;citation.key64&gt;supra._Pattern&lt;/citation.key64&gt;&lt;citation.value64&gt;ShortCaseSupra.ShortCaseSupra&lt;/citation.value64&gt;&lt;citation.key65&gt;supra.supra&lt;/citation.key65&gt;&lt;citation.value65&gt;supra&lt;/citation.value65&gt;&lt;citation.key66&gt;v&lt;/citation.key66&gt;&lt;citation.value66&gt;v.&lt;/citation.value66&gt;&lt;/citation&gt;_x000a_"/>
    <w:docVar w:name="CITRUS_BOOKMARK75[0]" w:val="&lt;#1&gt;&lt;citation&gt;&lt;citation._original_string&gt;Blue Chip Stamps v. Manor Drug Stores, 421 U.S. 723, 732 (1975)&lt;/citation._original_string&gt;&lt;citation._current_string&gt;Blue Chip Stamps v. Manor Drug Stores, 421 U.S. 723, 732 (1975)&lt;/citation._current_string&gt;&lt;citation._full_string&gt;Blue Chip Stamps v. Manor Drug Stores, 421 U.S. 723, 732 (1975)&lt;/citation._full_string&gt;&lt;citation._current_format&gt;Full.CaseCitation&lt;/citation._current_format&gt;&lt;citation.name&gt;&lt;/citation.name&gt;&lt;citation.key0&gt;,&lt;/citation.key0&gt;&lt;citation.value0&gt;,&lt;/citation.value0&gt;&lt;citation.key1&gt;CaseName.FirstParty.Party&lt;/citation.key1&gt;&lt;citation.value1&gt;Blue Chip Stamps&lt;/citation.value1&gt;&lt;citation.key2&gt;CaseName.FirstParty._Pattern&lt;/citation.key2&gt;&lt;citation.value2&gt;Party.Party&lt;/citation.value2&gt;&lt;citation.key3&gt;CaseName.SecondParty.Party&lt;/citation.key3&gt;&lt;citation.value3&gt;Manor Drug Stores&lt;/citation.value3&gt;&lt;citation.key4&gt;CaseName.SecondParty._Pattern&lt;/citation.key4&gt;&lt;citation.value4&gt;Party.Party&lt;/citation.value4&gt;&lt;citation.key5&gt;CourtParenthetical&lt;/citation.key5&gt;&lt;citation.value5&gt; (1975) &lt;/citation.value5&gt;&lt;citation.key6&gt;CourtParenthetical.Date.Year.Year&lt;/citation.key6&gt;&lt;citation.value6&gt;197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Blue Chip Stamps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21 U.S. 723, 732&lt;/citation.value23&gt;&lt;citation.key24&gt;Reporter.FirstPage&lt;/citation.key24&gt;&lt;citation.value24&gt;723&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21&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732&lt;/citation.value33&gt;&lt;citation.key34&gt;Reporter.__PinPages.First&lt;/citation.key34&gt;&lt;citation.value34&gt;732&lt;/citation.value34&gt;&lt;citation.key35&gt;Reporter.__PinPages.First._Pattern&lt;/citation.key35&gt;&lt;citation.value35&gt;FirstPageInRange.FirstPageInRange&lt;/citation.value35&gt;&lt;citation.key36&gt;Reporter.__PinPages.First.__PageNumber&lt;/citation.key36&gt;&lt;citation.value36&gt;732&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Manor Drug Stor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80[0]" w:val="&lt;#1&gt;&lt;citation&gt;&lt;citation._original_string&gt;Playboy Enterprises, Inc. v. Dumas, 53 F.3d 549, 559 (2d Cir. 1995)&lt;/citation._original_string&gt;&lt;citation._current_string&gt;Playboy Enters. v. Dumas, 53 F.3d 549, 559 (2d Cir. 1995)&lt;/citation._current_string&gt;&lt;citation._full_string&gt;Playboy Enters. v. Dumas, 53 F.3d 549, 559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 F.3d 549, 559&lt;/citation.value30&gt;&lt;citation.key31&gt;Reporter.FirstPage&lt;/citation.key31&gt;&lt;citation.value31&gt;549&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559&lt;/citation.value40&gt;&lt;citation.key41&gt;Reporter.__PinPages.First&lt;/citation.key41&gt;&lt;citation.value41&gt;559&lt;/citation.value41&gt;&lt;citation.key42&gt;Reporter.__PinPages.First._Pattern&lt;/citation.key42&gt;&lt;citation.value42&gt;FirstPageInRange.FirstPageInRange&lt;/citation.value42&gt;&lt;citation.key43&gt;Reporter.__PinPages.First.__PageNumber&lt;/citation.key43&gt;&lt;citation.value43&gt;559&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82[0]" w:val="&lt;#1&gt;&lt;citation&gt;&lt;citation._original_string&gt;Schiller &amp; Schmidt, Inc. v. Nordisco Corp., 969 F.2d 410, 413 (7th Cir. 1992)&lt;/citation._original_string&gt;&lt;citation._current_string&gt;Schiller &amp; Schmidt v. Nordisco Corp., 969 F.2d 410, 413 (7th Cir. 1992)&lt;/citation._current_string&gt;&lt;citation._full_string&gt;Schiller &amp; Schmidt v. Nordisco Corp., 969 F.2d 410, 413 (7th Cir. 1992)&lt;/citation._full_string&gt;&lt;citation._current_format&gt;Full.CaseCitation&lt;/citation._current_format&gt;&lt;citation.name&gt;&lt;/citation.name&gt;&lt;citation.key0&gt;,&lt;/citation.key0&gt;&lt;citation.value0&gt;,&lt;/citation.value0&gt;&lt;citation.key1&gt;CaseName.FirstParty&lt;/citation.key1&gt;&lt;citation.value1&gt;Schiller &amp; Schmidt&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1992)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1992&lt;/citation.value12&gt;&lt;citation.key13&gt;CourtParenthetical.Date.Year.Year&lt;/citation.key13&gt;&lt;citation.value13&gt;1992&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969 F.2d 410, 413&lt;/citation.value30&gt;&lt;citation.key31&gt;Reporter.FirstPage&lt;/citation.key31&gt;&lt;citation.value31&gt;410&lt;/citation.value31&gt;&lt;citation.key32&gt;Reporter.Name&lt;/citation.key32&gt;&lt;citation.value32&gt;F.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96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413&lt;/citation.value40&gt;&lt;citation.key41&gt;Reporter.__PinPages.First&lt;/citation.key41&gt;&lt;citation.value41&gt;413&lt;/citation.value41&gt;&lt;citation.key42&gt;Reporter.__PinPages.First._Pattern&lt;/citation.key42&gt;&lt;citation.value42&gt;FirstPageInRange.FirstPageInRange&lt;/citation.value42&gt;&lt;citation.key43&gt;Reporter.__PinPages.First.__PageNumber&lt;/citation.key43&gt;&lt;citation.value43&gt;41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83[0]" w:val="&lt;#1&gt;&lt;citation&gt;&lt;citation._original_string&gt;Id&lt;/citation._original_string&gt;&lt;citation._current_string&gt;Id.&lt;/citation._current_string&gt;&lt;citation._full_string&gt;Schiller &amp; Schmidt v. Nordisco Corp., 969 F.2d 410, 413 (7th Cir. 1992)&lt;/citation._full_string&gt;&lt;citation._current_format&gt;Id.CaseUId&lt;/citation._current_format&gt;&lt;citation.name&gt;&lt;/citation.name&gt;&lt;citation.key0&gt;,&lt;/citation.key0&gt;&lt;citation.value0&gt;,&lt;/citation.value0&gt;&lt;citation.key1&gt;CaseName.FirstParty&lt;/citation.key1&gt;&lt;citation.value1&gt;Schiller &amp; Schmidt&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1992)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1992&lt;/citation.value12&gt;&lt;citation.key13&gt;CourtParenthetical.Date.Year.Year&lt;/citation.key13&gt;&lt;citation.value13&gt;1992&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Reporter&lt;/citation.key31&gt;&lt;citation.value31&gt;969 F.2d 410, 413&lt;/citation.value31&gt;&lt;citation.key32&gt;Reporter.FirstPage&lt;/citation.key32&gt;&lt;citation.value32&gt;410&lt;/citation.value32&gt;&lt;citation.key33&gt;Reporter.Name&lt;/citation.key33&gt;&lt;citation.value33&gt;F.2d&lt;/citation.value33&gt;&lt;citation.key34&gt;Reporter.RequiredComma&lt;/citation.key34&gt;&lt;citation.value34&gt;, &lt;/citation.value34&gt;&lt;citation.key35&gt;Reporter.RequiredComma.Comma&lt;/citation.key35&gt;&lt;citation.value35&gt;,&lt;/citation.value35&gt;&lt;citation.key36&gt;Reporter.RequiredComma._Pattern&lt;/citation.key36&gt;&lt;citation.value36&gt;RequiredComma.RequiredComma&lt;/citation.value36&gt;&lt;citation.key37&gt;Reporter.Volume&lt;/citation.key37&gt;&lt;citation.value37&gt;969&lt;/citation.value37&gt;&lt;citation.key38&gt;Reporter.[&lt;/citation.key38&gt;&lt;citation.value38&gt;[&lt;/citation.value38&gt;&lt;citation.key39&gt;Reporter.]&lt;/citation.key39&gt;&lt;citation.value39&gt;]&lt;/citation.value39&gt;&lt;citation.key40&gt;Reporter._Pattern&lt;/citation.key40&gt;&lt;citation.value40&gt;Reporter.Reporter&lt;/citation.value40&gt;&lt;citation.key41&gt;Reporter.__PinPages&lt;/citation.key41&gt;&lt;citation.value41&gt;413&lt;/citation.value41&gt;&lt;citation.key42&gt;Reporter.__PinPages.First&lt;/citation.key42&gt;&lt;citation.value42&gt;413&lt;/citation.value42&gt;&lt;citation.key43&gt;Reporter.__PinPages.First._Pattern&lt;/citation.key43&gt;&lt;citation.value43&gt;FirstPageInRange.FirstPageInRange&lt;/citation.value43&gt;&lt;citation.key44&gt;Reporter.__PinPages.First.__PageNumber&lt;/citation.key44&gt;&lt;citation.value44&gt;413&lt;/citation.value44&gt;&lt;citation.key45&gt;Reporter.__PinPages._Pattern&lt;/citation.key45&gt;&lt;citation.value45&gt;PinPages.PinPages&lt;/citation.value45&gt;&lt;citation.key46&gt;Reporter.page&lt;/citation.key46&gt;&lt;citation.value46&gt;page&lt;/citation.value46&gt;&lt;citation.key47&gt;RequiredComma&lt;/citation.key47&gt;&lt;citation.value47&gt;, &lt;/citation.value47&gt;&lt;citation.key48&gt;RequiredComma._Pattern&lt;/citation.key48&gt;&lt;citation.value48&gt;RequiredComma.RequiredComma&lt;/citation.value48&gt;&lt;citation.key49&gt;supra&lt;/citation.key49&gt;&lt;citation.value49&gt;&lt;/citation.value49&gt;&lt;citation.key50&gt;supra.,&lt;/citation.key50&gt;&lt;citation.value50&gt;, &lt;/citation.value50&gt;&lt;citation.key51&gt;supra._Pattern&lt;/citation.key51&gt;&lt;citation.value51&gt;ShortCaseSupra.ShortCaseSupra&lt;/citation.value51&gt;&lt;citation.key52&gt;supra.supra&lt;/citation.key52&gt;&lt;citation.value52&gt;supra&lt;/citation.value52&gt;&lt;/citation&gt;_x000a_"/>
    <w:docVar w:name="CITRUS_BOOKMARK85[0]" w:val="&lt;#1&gt;&lt;citation&gt;&lt;citation._original_string&gt;Fed. R. Civ. P. 12 (b)(6)&lt;/citation._original_string&gt;&lt;citation._current_string&gt;Fed. R. Civ. P. 12 (b)(6)&lt;/citation._current_string&gt;&lt;citation._full_string&gt;Fed. R. Civ. P. 12 (b)(6)&lt;/citation._full_string&gt;&lt;citation._current_format&gt;Full.ProceduralRule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ProcRules&lt;/citation.key3&gt;&lt;citation.value3&gt;Fed. R. Civ. P. &lt;/citation.value3&gt;&lt;citation.key4&gt;ProcRules.Civil&lt;/citation.key4&gt;&lt;citation.value4&gt;Civ.&lt;/citation.value4&gt;&lt;citation.key5&gt;ProcRules.Federal&lt;/citation.key5&gt;&lt;citation.value5&gt;Fed.&lt;/citation.value5&gt;&lt;citation.key6&gt;ProcRules.Procedure&lt;/citation.key6&gt;&lt;citation.value6&gt;P&lt;/citation.value6&gt;&lt;citation.key7&gt;ProcRules.Rules&lt;/citation.key7&gt;&lt;citation.value7&gt;R.&lt;/citation.value7&gt;&lt;citation.key8&gt;ProcRules._Pattern&lt;/citation.key8&gt;&lt;citation.value8&gt;ProcRules.ProcRules&lt;/citation.value8&gt;&lt;citation.key9&gt;__RuleNumberList&lt;/citation.key9&gt;&lt;citation.value9&gt;12 (b)(6) &lt;/citation.value9&gt;&lt;citation.key10&gt;__RuleNumberList._Pattern&lt;/citation.key10&gt;&lt;citation.value10&gt;RuleNumberList.RuleNumberList&lt;/citation.value10&gt;&lt;citation.key11&gt;__RuleNumberList.__RuleNumber&lt;/citation.key11&gt;&lt;citation.value11&gt;12 (b)(6)&lt;/citation.value11&gt;&lt;citation.key12&gt;__RuleNumberList.rule&lt;/citation.key12&gt;&lt;citation.value12&gt;rule&lt;/citation.value12&gt;&lt;/citation&gt;_x000a_"/>
    <w:docVar w:name="CITRUS_BOOKMARK90[0]" w:val="&lt;#1&gt;&lt;citation&gt;&lt;citation._original_string&gt;see Conn. Nat'l Bank v. Germain, 503 U.S. 249 (1992)&lt;/citation._original_string&gt;&lt;citation._current_string&gt;See Conn. Nat'l Bank v. Germain, 503 U.S. 249 (1992)&lt;/citation._current_string&gt;&lt;citation._full_string&gt;see Conn. Nat'l Bank v. Germain, 503 U.S. 249 (1992)&lt;/citation._full_string&gt;&lt;citation._current_format&gt;Full.CaseCitation&lt;/citation._current_format&gt;&lt;citation.name&gt;&lt;/citation.name&gt;&lt;citation.key0&gt;,&lt;/citation.key0&gt;&lt;citation.value0&gt;,&lt;/citation.value0&gt;&lt;citation.key1&gt;CaseName&lt;/citation.key1&gt;&lt;citation.value1&gt;Conn. Nat'l Bank v. Germain &lt;/citation.value1&gt;&lt;citation.key2&gt;CaseName.FirstParty&lt;/citation.key2&gt;&lt;citation.value2&gt;Conn. Nat'l Bank &lt;/citation.value2&gt;&lt;citation.key3&gt;CaseName.FirstParty.Party&lt;/citation.key3&gt;&lt;citation.value3&gt;Connecticut National Bank&lt;/citation.value3&gt;&lt;citation.key4&gt;CaseName.FirstParty._Pattern&lt;/citation.key4&gt;&lt;citation.value4&gt;Party.Party&lt;/citation.value4&gt;&lt;citation.key5&gt;CaseName.SecondParty&lt;/citation.key5&gt;&lt;citation.value5&gt;Germain &lt;/citation.value5&gt;&lt;citation.key6&gt;CaseName.SecondParty.Party&lt;/citation.key6&gt;&lt;citation.value6&gt;Germai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2) &lt;/citation.value10&gt;&lt;citation.key11&gt;CourtParenthetical.Date&lt;/citation.key11&gt;&lt;citation.value11&gt;1992 &lt;/citation.value11&gt;&lt;citation.key12&gt;CourtParenthetical.Date.Year&lt;/citation.key12&gt;&lt;citation.value12&gt;1992 &lt;/citation.value12&gt;&lt;citation.key13&gt;CourtParenthetical.Date.Year.Year&lt;/citation.key13&gt;&lt;citation.value13&gt;1992&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onn. Nat'l Bank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03 U.S. 249 &lt;/citation.value30&gt;&lt;citation.key31&gt;Reporter.FirstPage&lt;/citation.key31&gt;&lt;citation.value31&gt;249&lt;/citation.value31&gt;&lt;citation.key32&gt;Reporter.Name&lt;/citation.key32&gt;&lt;citation.value32&gt;U.S.&lt;/citation.value32&gt;&lt;citation.key33&gt;Reporter.Volume&lt;/citation.key33&gt;&lt;citation.value33&gt;503&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Germain &lt;/citation.value41&gt;&lt;citation.key42&gt;__Signal&lt;/citation.key42&gt;&lt;citation.value42&gt;see &lt;/citation.value42&gt;&lt;citation.key43&gt;__Signal.ForbiddenComma._Pattern&lt;/citation.key43&gt;&lt;citation.value43&gt;ForbiddenComma.ForbiddenComma&lt;/citation.value43&gt;&lt;citation.key44&gt;__Signal.See&lt;/citation.key44&gt;&lt;citation.value44&gt;see&lt;/citation.value44&gt;&lt;citation.key45&gt;__Signal._Pattern&lt;/citation.key45&gt;&lt;citation.value45&gt;Signal.Signal&lt;/citation.value45&gt;&lt;citation.key46&gt;supra&lt;/citation.key46&gt;&lt;citation.value46&gt;&lt;/citation.value46&gt;&lt;citation.key47&gt;supra.,&lt;/citation.key47&gt;&lt;citation.value47&gt;, &lt;/citation.value47&gt;&lt;citation.key48&gt;supra._Pattern&lt;/citation.key48&gt;&lt;citation.value48&gt;ShortCaseSupra.ShortCaseSupra&lt;/citation.value48&gt;&lt;citation.key49&gt;supra.supra&lt;/citation.key49&gt;&lt;citation.value49&gt;supra&lt;/citation.value49&gt;&lt;citation.key50&gt;v&lt;/citation.key50&gt;&lt;citation.value50&gt;v.&lt;/citation.value50&gt;&lt;/citation&gt;_x000a_"/>
    <w:docVar w:name="CITRUS_BOOKMARK92[0]" w:val="&lt;#1&gt;&lt;citation&gt;&lt;citation._original_string&gt;Smith v. United States, 508 U.S. 223, 239 (1993) (internal quotation marks and brackets omitted)&lt;/citation._original_string&gt;&lt;citation._current_string&gt;Smith v. United States, 508 U.S. 223, 239 (1993) (internal quotation marks and brackets omitted)&lt;/citation._current_string&gt;&lt;citation._full_string&gt;Smith v. United States, 508 U.S. 223, 239 (1993) (internal quotation marks and brackets omitted)&lt;/citation._full_string&gt;&lt;citation._current_format&gt;Full.CaseCitation&lt;/citation._current_format&gt;&lt;citation.name&gt;&lt;/citation.name&gt;&lt;citation.key0&gt;,&lt;/citation.key0&gt;&lt;citation.value0&gt;,&lt;/citation.value0&gt;&lt;citation.key1&gt;CaseName&lt;/citation.key1&gt;&lt;citation.value1&gt;Smith v. United States &lt;/citation.value1&gt;&lt;citation.key2&gt;CaseName.FirstParty&lt;/citation.key2&gt;&lt;citation.value2&gt;Smith &lt;/citation.value2&gt;&lt;citation.key3&gt;CaseName.FirstParty.Party&lt;/citation.key3&gt;&lt;citation.value3&gt;Smith&lt;/citation.value3&gt;&lt;citation.key4&gt;CaseName.FirstParty._Pattern&lt;/citation.key4&gt;&lt;citation.value4&gt;Party.Party&lt;/citation.value4&gt;&lt;citation.key5&gt;CaseName.SecondParty&lt;/citation.key5&gt;&lt;citation.value5&gt;United States &lt;/citation.value5&gt;&lt;citation.key6&gt;CaseName.SecondParty.Party&lt;/citation.key6&gt;&lt;citation.value6&gt;United State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3) &lt;/citation.value10&gt;&lt;citation.key11&gt;CourtParenthetical.Date&lt;/citation.key11&gt;&lt;citation.value11&gt;1993 &lt;/citation.value11&gt;&lt;citation.key12&gt;CourtParenthetical.Date.Year&lt;/citation.key12&gt;&lt;citation.value12&gt;1993 &lt;/citation.value12&gt;&lt;citation.key13&gt;CourtParenthetical.Date.Year.Year&lt;/citation.key13&gt;&lt;citation.value13&gt;1993&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Smith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Parenthetical&lt;/citation.key30&gt;&lt;citation.value30&gt; (internal quotation marks and brackets omitted) &lt;/citation.value30&gt;&lt;citation.key31&gt;Parenthetical.([&lt;/citation.key31&gt;&lt;citation.value31&gt; (&lt;/citation.value31&gt;&lt;citation.key32&gt;Parenthetical.([.(&lt;/citation.key32&gt;&lt;citation.value32&gt;(&lt;/citation.value32&gt;&lt;citation.key33&gt;Parenthetical.([._Pattern&lt;/citation.key33&gt;&lt;citation.value33&gt;([.([&lt;/citation.value33&gt;&lt;citation.key34&gt;Parenthetical.])&lt;/citation.key34&gt;&lt;citation.value34&gt;) &lt;/citation.value34&gt;&lt;citation.key35&gt;Parenthetical.]).)&lt;/citation.key35&gt;&lt;citation.value35&gt;)&lt;/citation.value35&gt;&lt;citation.key36&gt;Parenthetical.])._Pattern&lt;/citation.key36&gt;&lt;citation.value36&gt;]).])&lt;/citation.value36&gt;&lt;citation.key37&gt;Parenthetical._Pattern&lt;/citation.key37&gt;&lt;citation.value37&gt;ShortCaseParenthetical.ShortCaseParenthetical&lt;/citation.value37&gt;&lt;citation.key38&gt;Parenthetical.__OtherReasonableExplanation&lt;/citation.key38&gt;&lt;citation.value38&gt;internal quotation marks and brackets omitted&lt;/citation.value38&gt;&lt;citation.key39&gt;Reporter&lt;/citation.key39&gt;&lt;citation.value39&gt;508 U.S. at 239&lt;/citation.value39&gt;&lt;citation.key40&gt;Reporter.FirstPage&lt;/citation.key40&gt;&lt;citation.value40&gt;223&lt;/citation.value40&gt;&lt;citation.key41&gt;Reporter.Name&lt;/citation.key41&gt;&lt;citation.value41&gt;U.S.&lt;/citation.value41&gt;&lt;citation.key42&gt;Reporter.RequiredComma&lt;/citation.key42&gt;&lt;citation.value42&gt;, &lt;/citation.value42&gt;&lt;citation.key43&gt;Reporter.RequiredComma.Comma&lt;/citation.key43&gt;&lt;citation.value43&gt;,&lt;/citation.value43&gt;&lt;citation.key44&gt;Reporter.RequiredComma._Pattern&lt;/citation.key44&gt;&lt;citation.value44&gt;RequiredComma.RequiredComma&lt;/citation.value44&gt;&lt;citation.key45&gt;Reporter.Volume&lt;/citation.key45&gt;&lt;citation.value45&gt;508&lt;/citation.value45&gt;&lt;citation.key46&gt;Reporter.[&lt;/citation.key46&gt;&lt;citation.value46&gt;[&lt;/citation.value46&gt;&lt;citation.key47&gt;Reporter.]&lt;/citation.key47&gt;&lt;citation.value47&gt;]&lt;/citation.value47&gt;&lt;citation.key48&gt;Reporter._Pattern&lt;/citation.key48&gt;&lt;citation.value48&gt;ShortReporter.ShortReporter&lt;/citation.value48&gt;&lt;citation.key49&gt;Reporter.__PinPages&lt;/citation.key49&gt;&lt;citation.value49&gt;239&lt;/citation.value49&gt;&lt;citation.key50&gt;Reporter.__PinPages.First&lt;/citation.key50&gt;&lt;citation.value50&gt;239&lt;/citation.value50&gt;&lt;citation.key51&gt;Reporter.__PinPages.First._Pattern&lt;/citation.key51&gt;&lt;citation.value51&gt;FirstPageInRange.FirstPageInRange&lt;/citation.value51&gt;&lt;citation.key52&gt;Reporter.__PinPages.First.__PageNumber&lt;/citation.key52&gt;&lt;citation.value52&gt;239&lt;/citation.value52&gt;&lt;citation.key53&gt;Reporter.__PinPages._Pattern&lt;/citation.key53&gt;&lt;citation.value53&gt;PinPages.PinPages&lt;/citation.value53&gt;&lt;citation.key54&gt;Reporter.page&lt;/citation.key54&gt;&lt;citation.value54&gt;page&lt;/citation.value54&gt;&lt;citation.key55&gt;RequiredComma&lt;/citation.key55&gt;&lt;citation.value55&gt;, &lt;/citation.value55&gt;&lt;citation.key56&gt;RequiredComma.Comma&lt;/citation.key56&gt;&lt;citation.value56&gt;,&lt;/citation.value56&gt;&lt;citation.key57&gt;RequiredComma._Pattern&lt;/citation.key57&gt;&lt;citation.value57&gt;RequiredComma.RequiredComma&lt;/citation.value57&gt;&lt;citation.key58&gt;SecondParty&lt;/citation.key58&gt;&lt;citation.value58&gt;United States &lt;/citation.value58&gt;&lt;citation.key59&gt;supra&lt;/citation.key59&gt;&lt;citation.value59&gt;&lt;/citation.value59&gt;&lt;citation.key60&gt;supra.,&lt;/citation.key60&gt;&lt;citation.value60&gt;, &lt;/citation.value60&gt;&lt;citation.key61&gt;supra._Pattern&lt;/citation.key61&gt;&lt;citation.value61&gt;ShortCaseSupra.ShortCaseSupra&lt;/citation.value61&gt;&lt;citation.key62&gt;supra.supra&lt;/citation.key62&gt;&lt;citation.value62&gt;supra&lt;/citation.value62&gt;&lt;citation.key63&gt;v&lt;/citation.key63&gt;&lt;citation.value63&gt;v.&lt;/citation.value63&gt;&lt;/citation&gt;_x000a_"/>
    <w:docVar w:name="CITRUS_BOOKMARK93[0]" w:val="&lt;#1&gt;&lt;citation&gt;&lt;citation._original_string&gt;Ladner v. United States, 358 U.S. 169, 178 (1958)&lt;/citation._original_string&gt;&lt;citation._current_string&gt;Ladner v. United States, 358 U.S. 169, 178 (1958)&lt;/citation._current_string&gt;&lt;citation._full_string&gt;Ladner v. United States, 358 U.S. 169, 178 (1958)&lt;/citation._full_string&gt;&lt;citation._current_format&gt;Full.CaseCitation&lt;/citation._current_format&gt;&lt;citation.name&gt;&lt;/citation.name&gt;&lt;citation.key0&gt;,&lt;/citation.key0&gt;&lt;citation.value0&gt;,&lt;/citation.value0&gt;&lt;citation.key1&gt;CaseName&lt;/citation.key1&gt;&lt;citation.value1&gt;Ladner v. United States &lt;/citation.value1&gt;&lt;citation.key2&gt;CaseName.FirstParty&lt;/citation.key2&gt;&lt;citation.value2&gt;Ladner &lt;/citation.value2&gt;&lt;citation.key3&gt;CaseName.FirstParty.Party&lt;/citation.key3&gt;&lt;citation.value3&gt;Ladner&lt;/citation.value3&gt;&lt;citation.key4&gt;CaseName.FirstParty._Pattern&lt;/citation.key4&gt;&lt;citation.value4&gt;Party.Party&lt;/citation.value4&gt;&lt;citation.key5&gt;CaseName.SecondParty&lt;/citation.key5&gt;&lt;citation.value5&gt;United States &lt;/citation.value5&gt;&lt;citation.key6&gt;CaseName.SecondParty.Party&lt;/citation.key6&gt;&lt;citation.value6&gt;United State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58) &lt;/citation.value10&gt;&lt;citation.key11&gt;CourtParenthetical.Date&lt;/citation.key11&gt;&lt;citation.value11&gt;1958 &lt;/citation.value11&gt;&lt;citation.key12&gt;CourtParenthetical.Date.Year&lt;/citation.key12&gt;&lt;citation.value12&gt;1958 &lt;/citation.value12&gt;&lt;citation.key13&gt;CourtParenthetical.Date.Year.Year&lt;/citation.key13&gt;&lt;citation.value13&gt;1958&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Ladner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358 U.S. at 178&lt;/citation.value30&gt;&lt;citation.key31&gt;Reporter.FirstPage&lt;/citation.key31&gt;&lt;citation.value31&gt;169&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358&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78&lt;/citation.value40&gt;&lt;citation.key41&gt;Reporter.__PinPages.First&lt;/citation.key41&gt;&lt;citation.value41&gt;178&lt;/citation.value41&gt;&lt;citation.key42&gt;Reporter.__PinPages.First._Pattern&lt;/citation.key42&gt;&lt;citation.value42&gt;FirstPageInRange.FirstPageInRange&lt;/citation.value42&gt;&lt;citation.key43&gt;Reporter.__PinPages.First.__PageNumber&lt;/citation.key43&gt;&lt;citation.value43&gt;178&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United States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94[0]" w:val="&lt;#1&gt;&lt;citation&gt;&lt;citation._original_string&gt;Reno v. Koray, 515 U.S. 50, 65 (1995)&lt;/citation._original_string&gt;&lt;citation._current_string&gt;Reno v. Koray, 515 U.S. 50, 65 (1995)&lt;/citation._current_string&gt;&lt;citation._full_string&gt;Reno v. Koray, 515 U.S. 50, 65 (1995)&lt;/citation._full_string&gt;&lt;citation._current_format&gt;Full.CaseCitation&lt;/citation._current_format&gt;&lt;citation.name&gt;&lt;/citation.name&gt;&lt;citation.key0&gt;,&lt;/citation.key0&gt;&lt;citation.value0&gt;,&lt;/citation.value0&gt;&lt;citation.key1&gt;CaseName&lt;/citation.key1&gt;&lt;citation.value1&gt;Reno v. Koray &lt;/citation.value1&gt;&lt;citation.key2&gt;CaseName.FirstParty&lt;/citation.key2&gt;&lt;citation.value2&gt;Reno &lt;/citation.value2&gt;&lt;citation.key3&gt;CaseName.FirstParty.Party&lt;/citation.key3&gt;&lt;citation.value3&gt;Reno&lt;/citation.value3&gt;&lt;citation.key4&gt;CaseName.FirstParty._Pattern&lt;/citation.key4&gt;&lt;citation.value4&gt;Party.Party&lt;/citation.value4&gt;&lt;citation.key5&gt;CaseName.SecondParty&lt;/citation.key5&gt;&lt;citation.value5&gt;Koray &lt;/citation.value5&gt;&lt;citation.key6&gt;CaseName.SecondParty.Party&lt;/citation.key6&gt;&lt;citation.value6&gt;Koray&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5) &lt;/citation.value10&gt;&lt;citation.key11&gt;CourtParenthetical.Date&lt;/citation.key11&gt;&lt;citation.value11&gt;1995 &lt;/citation.value11&gt;&lt;citation.key12&gt;CourtParenthetical.Date.Year&lt;/citation.key12&gt;&lt;citation.value12&gt;1995 &lt;/citation.value12&gt;&lt;citation.key13&gt;CourtParenthetical.Date.Year.Year&lt;/citation.key13&gt;&lt;citation.value13&gt;1995&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Reno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15 U.S. at 65&lt;/citation.value30&gt;&lt;citation.key31&gt;Reporter.FirstPage&lt;/citation.key31&gt;&lt;citation.value31&gt;50&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15&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65&lt;/citation.value40&gt;&lt;citation.key41&gt;Reporter.__PinPages.First&lt;/citation.key41&gt;&lt;citation.value41&gt;65&lt;/citation.value41&gt;&lt;citation.key42&gt;Reporter.__PinPages.First._Pattern&lt;/citation.key42&gt;&lt;citation.value42&gt;FirstPageInRange.FirstPageInRange&lt;/citation.value42&gt;&lt;citation.key43&gt;Reporter.__PinPages.First.__PageNumber&lt;/citation.key43&gt;&lt;citation.value43&gt;6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Koray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95[0]" w:val="&lt;#1&gt;&lt;citation&gt;&lt;citation._original_string&gt;See Conn. Nat'l Bank v. Germain, 503 U.S. 249, 253 (1992)&lt;/citation._original_string&gt;&lt;citation._current_string&gt;See Conn. Nat'l Bank v. Germain, 503 U.S. 249, 253 (1992)&lt;/citation._current_string&gt;&lt;citation._full_string&gt;see Conn. Nat'l Bank v. Germain, 503 U.S. 249, 253 (1992)&lt;/citation._full_string&gt;&lt;citation._current_format&gt;Full.CaseCitation&lt;/citation._current_format&gt;&lt;citation.name&gt;&lt;/citation.name&gt;&lt;citation.key0&gt;,&lt;/citation.key0&gt;&lt;citation.value0&gt;,&lt;/citation.value0&gt;&lt;citation.key1&gt;CaseName&lt;/citation.key1&gt;&lt;citation.value1&gt;Conn. Nat'l Bank v. Germain &lt;/citation.value1&gt;&lt;citation.key2&gt;CaseName.FirstParty&lt;/citation.key2&gt;&lt;citation.value2&gt;Conn. Nat'l Bank &lt;/citation.value2&gt;&lt;citation.key3&gt;CaseName.FirstParty.Party&lt;/citation.key3&gt;&lt;citation.value3&gt;Connecticut National Bank&lt;/citation.value3&gt;&lt;citation.key4&gt;CaseName.FirstParty._Pattern&lt;/citation.key4&gt;&lt;citation.value4&gt;Party.Party&lt;/citation.value4&gt;&lt;citation.key5&gt;CaseName.SecondParty&lt;/citation.key5&gt;&lt;citation.value5&gt;Germain &lt;/citation.value5&gt;&lt;citation.key6&gt;CaseName.SecondParty.Party&lt;/citation.key6&gt;&lt;citation.value6&gt;Germai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92) &lt;/citation.value10&gt;&lt;citation.key11&gt;CourtParenthetical.Date&lt;/citation.key11&gt;&lt;citation.value11&gt;1992 &lt;/citation.value11&gt;&lt;citation.key12&gt;CourtParenthetical.Date.Year&lt;/citation.key12&gt;&lt;citation.value12&gt;1992 &lt;/citation.value12&gt;&lt;citation.key13&gt;CourtParenthetical.Date.Year.Year&lt;/citation.key13&gt;&lt;citation.value13&gt;1992&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onn. Nat'l Bank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03 U.S. at 253&lt;/citation.value30&gt;&lt;citation.key31&gt;Reporter.FirstPage&lt;/citation.key31&gt;&lt;citation.value31&gt;249&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03&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253&lt;/citation.value40&gt;&lt;citation.key41&gt;Reporter.__PinPages.First&lt;/citation.key41&gt;&lt;citation.value41&gt;253&lt;/citation.value41&gt;&lt;citation.key42&gt;Reporter.__PinPages.First._Pattern&lt;/citation.key42&gt;&lt;citation.value42&gt;FirstPageInRange.FirstPageInRange&lt;/citation.value42&gt;&lt;citation.key43&gt;Reporter.__PinPages.First.__PageNumber&lt;/citation.key43&gt;&lt;citation.value43&gt;25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Germain &lt;/citation.value49&gt;&lt;citation.key50&gt;__Signal&lt;/citation.key50&gt;&lt;citation.value50&gt;see &lt;/citation.value50&gt;&lt;citation.key51&gt;__Signal.ForbiddenComma._Pattern&lt;/citation.key51&gt;&lt;citation.value51&gt;ForbiddenComma.ForbiddenComma&lt;/citation.value51&gt;&lt;citation.key52&gt;__Signal.See&lt;/citation.key52&gt;&lt;citation.value52&gt;see&lt;/citation.value52&gt;&lt;citation.key53&gt;__Signal._Pattern&lt;/citation.key53&gt;&lt;citation.value53&gt;Signal.Signal&lt;/citation.value53&gt;&lt;citation.key54&gt;supra&lt;/citation.key54&gt;&lt;citation.value54&gt;&lt;/citation.value54&gt;&lt;citation.key55&gt;supra.,&lt;/citation.key55&gt;&lt;citation.value55&gt;, &lt;/citation.value55&gt;&lt;citation.key56&gt;supra._Pattern&lt;/citation.key56&gt;&lt;citation.value56&gt;ShortCaseSupra.ShortCaseSupra&lt;/citation.value56&gt;&lt;citation.key57&gt;supra.supra&lt;/citation.key57&gt;&lt;citation.value57&gt;supra&lt;/citation.value57&gt;&lt;citation.key58&gt;v&lt;/citation.key58&gt;&lt;citation.value58&gt;v.&lt;/citation.value58&gt;&lt;/citation&gt;_x000a_"/>
    <w:docVar w:name="CITRUS_BOOKMARK96[0]" w:val="&lt;#1&gt;&lt;citation&gt;&lt;citation._original_string&gt;Church of Holy Trinity v. United States, 143 U.S. 457 (1892)&lt;/citation._original_string&gt;&lt;citation._current_string&gt;Church of Holy Trinity v. United States, 143 U.S. 457 (1892)&lt;/citation._current_string&gt;&lt;citation._full_string&gt;Church of Holy Trinity v. United States, 143 U.S. 457 (1892)&lt;/citation._full_string&gt;&lt;citation._current_format&gt;Full.CaseCitation&lt;/citation._current_format&gt;&lt;citation.name&gt;&lt;/citation.name&gt;&lt;citation.key0&gt;,&lt;/citation.key0&gt;&lt;citation.value0&gt;,&lt;/citation.value0&gt;&lt;citation.key1&gt;CaseName&lt;/citation.key1&gt;&lt;citation.value1&gt;Church of Holy Trinity v. United States &lt;/citation.value1&gt;&lt;citation.key2&gt;CaseName.FirstParty&lt;/citation.key2&gt;&lt;citation.value2&gt;Church of Holy Trinity &lt;/citation.value2&gt;&lt;citation.key3&gt;CaseName.FirstParty.Party&lt;/citation.key3&gt;&lt;citation.value3&gt;Church of Holy Trinity&lt;/citation.value3&gt;&lt;citation.key4&gt;CaseName.FirstParty._Pattern&lt;/citation.key4&gt;&lt;citation.value4&gt;Party.Party&lt;/citation.value4&gt;&lt;citation.key5&gt;CaseName.SecondParty&lt;/citation.key5&gt;&lt;citation.value5&gt;United States &lt;/citation.value5&gt;&lt;citation.key6&gt;CaseName.SecondParty.Party&lt;/citation.key6&gt;&lt;citation.value6&gt;United State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892) &lt;/citation.value10&gt;&lt;citation.key11&gt;CourtParenthetical.Date&lt;/citation.key11&gt;&lt;citation.value11&gt;1892 &lt;/citation.value11&gt;&lt;citation.key12&gt;CourtParenthetical.Date.Year&lt;/citation.key12&gt;&lt;citation.value12&gt;1892 &lt;/citation.value12&gt;&lt;citation.key13&gt;CourtParenthetical.Date.Year.Year&lt;/citation.key13&gt;&lt;citation.value13&gt;1892&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hurch of Holy Trinity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143 U.S. 457 &lt;/citation.value30&gt;&lt;citation.key31&gt;Reporter.FirstPage&lt;/citation.key31&gt;&lt;citation.value31&gt;457&lt;/citation.value31&gt;&lt;citation.key32&gt;Reporter.Name&lt;/citation.key32&gt;&lt;citation.value32&gt;U.S.&lt;/citation.value32&gt;&lt;citation.key33&gt;Reporter.Volume&lt;/citation.key33&gt;&lt;citation.value33&gt;143&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97[0]" w:val="&lt;#1&gt;&lt;citation&gt;&lt;citation._original_string&gt;Church of Holy Trinity v. United States, 143 U.S. 457, 463 (1892)&lt;/citation._original_string&gt;&lt;citation._current_string&gt;Church of Holy Trinity v. United States, 143 U.S. 457, 463 (1892)&lt;/citation._current_string&gt;&lt;citation._full_string&gt;Church of Holy Trinity v. United States, 143 U.S. 457, 463 (1892)&lt;/citation._full_string&gt;&lt;citation._current_format&gt;Full.CaseCitation&lt;/citation._current_format&gt;&lt;citation.name&gt;&lt;/citation.name&gt;&lt;citation.key0&gt;,&lt;/citation.key0&gt;&lt;citation.value0&gt;,&lt;/citation.value0&gt;&lt;citation.key1&gt;CaseName&lt;/citation.key1&gt;&lt;citation.value1&gt;Church of Holy Trinity v. United States &lt;/citation.value1&gt;&lt;citation.key2&gt;CaseName.FirstParty&lt;/citation.key2&gt;&lt;citation.value2&gt;Church of Holy Trinity &lt;/citation.value2&gt;&lt;citation.key3&gt;CaseName.FirstParty.Party&lt;/citation.key3&gt;&lt;citation.value3&gt;Church of Holy Trinity&lt;/citation.value3&gt;&lt;citation.key4&gt;CaseName.FirstParty._Pattern&lt;/citation.key4&gt;&lt;citation.value4&gt;Party.Party&lt;/citation.value4&gt;&lt;citation.key5&gt;CaseName.SecondParty&lt;/citation.key5&gt;&lt;citation.value5&gt;United States &lt;/citation.value5&gt;&lt;citation.key6&gt;CaseName.SecondParty.Party&lt;/citation.key6&gt;&lt;citation.value6&gt;United State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892) &lt;/citation.value10&gt;&lt;citation.key11&gt;CourtParenthetical.Date&lt;/citation.key11&gt;&lt;citation.value11&gt;1892 &lt;/citation.value11&gt;&lt;citation.key12&gt;CourtParenthetical.Date.Year&lt;/citation.key12&gt;&lt;citation.value12&gt;1892 &lt;/citation.value12&gt;&lt;citation.key13&gt;CourtParenthetical.Date.Year.Year&lt;/citation.key13&gt;&lt;citation.value13&gt;1892&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hurch of Holy Trinity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143 U.S. at 463&lt;/citation.value30&gt;&lt;citation.key31&gt;Reporter.FirstPage&lt;/citation.key31&gt;&lt;citation.value31&gt;45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143&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463&lt;/citation.value40&gt;&lt;citation.key41&gt;Reporter.__PinPages.First&lt;/citation.key41&gt;&lt;citation.value41&gt;463&lt;/citation.value41&gt;&lt;citation.key42&gt;Reporter.__PinPages.First._Pattern&lt;/citation.key42&gt;&lt;citation.value42&gt;FirstPageInRange.FirstPageInRange&lt;/citation.value42&gt;&lt;citation.key43&gt;Reporter.__PinPages.First.__PageNumber&lt;/citation.key43&gt;&lt;citation.value43&gt;46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United States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s>
  <w:rsids>
    <w:rsidRoot w:val="00642607"/>
    <w:rsid w:val="000116AF"/>
    <w:rsid w:val="00013462"/>
    <w:rsid w:val="00024030"/>
    <w:rsid w:val="00036B3C"/>
    <w:rsid w:val="00037439"/>
    <w:rsid w:val="000606AE"/>
    <w:rsid w:val="00060AF1"/>
    <w:rsid w:val="000643A9"/>
    <w:rsid w:val="00075A47"/>
    <w:rsid w:val="00081E01"/>
    <w:rsid w:val="000952BA"/>
    <w:rsid w:val="000A525B"/>
    <w:rsid w:val="000D4F70"/>
    <w:rsid w:val="000D602A"/>
    <w:rsid w:val="000E797B"/>
    <w:rsid w:val="000F514B"/>
    <w:rsid w:val="0012102D"/>
    <w:rsid w:val="00142513"/>
    <w:rsid w:val="001466C8"/>
    <w:rsid w:val="001721BE"/>
    <w:rsid w:val="00176647"/>
    <w:rsid w:val="00196B9C"/>
    <w:rsid w:val="001D56E6"/>
    <w:rsid w:val="00215779"/>
    <w:rsid w:val="00265AB4"/>
    <w:rsid w:val="00287630"/>
    <w:rsid w:val="002A3134"/>
    <w:rsid w:val="002C0263"/>
    <w:rsid w:val="002C6B5F"/>
    <w:rsid w:val="002D6272"/>
    <w:rsid w:val="002E1846"/>
    <w:rsid w:val="002E2F71"/>
    <w:rsid w:val="002F1D5E"/>
    <w:rsid w:val="0031348B"/>
    <w:rsid w:val="00314A71"/>
    <w:rsid w:val="00325131"/>
    <w:rsid w:val="003328FE"/>
    <w:rsid w:val="00332A7D"/>
    <w:rsid w:val="00332F3D"/>
    <w:rsid w:val="00353221"/>
    <w:rsid w:val="0035450F"/>
    <w:rsid w:val="003653F5"/>
    <w:rsid w:val="00370215"/>
    <w:rsid w:val="00392794"/>
    <w:rsid w:val="003B03D6"/>
    <w:rsid w:val="003B2994"/>
    <w:rsid w:val="003E2DE7"/>
    <w:rsid w:val="003F1821"/>
    <w:rsid w:val="003F629F"/>
    <w:rsid w:val="00421021"/>
    <w:rsid w:val="00435370"/>
    <w:rsid w:val="0044402C"/>
    <w:rsid w:val="00452B5B"/>
    <w:rsid w:val="00453479"/>
    <w:rsid w:val="00464CE8"/>
    <w:rsid w:val="00465D8A"/>
    <w:rsid w:val="00467461"/>
    <w:rsid w:val="00470D91"/>
    <w:rsid w:val="004723F0"/>
    <w:rsid w:val="004A40A6"/>
    <w:rsid w:val="004B1FF4"/>
    <w:rsid w:val="004C1BA8"/>
    <w:rsid w:val="004D0160"/>
    <w:rsid w:val="004D1827"/>
    <w:rsid w:val="004D791A"/>
    <w:rsid w:val="00525D49"/>
    <w:rsid w:val="0052687B"/>
    <w:rsid w:val="00530263"/>
    <w:rsid w:val="005306B5"/>
    <w:rsid w:val="00545CDE"/>
    <w:rsid w:val="005533F5"/>
    <w:rsid w:val="00553863"/>
    <w:rsid w:val="005603AA"/>
    <w:rsid w:val="00567F2B"/>
    <w:rsid w:val="0057437A"/>
    <w:rsid w:val="005821C9"/>
    <w:rsid w:val="00590B45"/>
    <w:rsid w:val="0059130E"/>
    <w:rsid w:val="00593B55"/>
    <w:rsid w:val="00596C72"/>
    <w:rsid w:val="005A33C3"/>
    <w:rsid w:val="005A5713"/>
    <w:rsid w:val="005B1E6C"/>
    <w:rsid w:val="005B327C"/>
    <w:rsid w:val="005D5026"/>
    <w:rsid w:val="005E0E9E"/>
    <w:rsid w:val="005F659A"/>
    <w:rsid w:val="006009D8"/>
    <w:rsid w:val="00601D2B"/>
    <w:rsid w:val="00603801"/>
    <w:rsid w:val="00617B29"/>
    <w:rsid w:val="00622751"/>
    <w:rsid w:val="00625A74"/>
    <w:rsid w:val="006276D5"/>
    <w:rsid w:val="00627900"/>
    <w:rsid w:val="00633C1D"/>
    <w:rsid w:val="00642607"/>
    <w:rsid w:val="00660268"/>
    <w:rsid w:val="00677B49"/>
    <w:rsid w:val="00682A7D"/>
    <w:rsid w:val="00687A12"/>
    <w:rsid w:val="006C3072"/>
    <w:rsid w:val="006C3263"/>
    <w:rsid w:val="006C5789"/>
    <w:rsid w:val="006D06F6"/>
    <w:rsid w:val="006F19CA"/>
    <w:rsid w:val="006F1E3C"/>
    <w:rsid w:val="006F5ECF"/>
    <w:rsid w:val="006F76FA"/>
    <w:rsid w:val="006F7F5F"/>
    <w:rsid w:val="00700074"/>
    <w:rsid w:val="007017CF"/>
    <w:rsid w:val="00721644"/>
    <w:rsid w:val="00725683"/>
    <w:rsid w:val="00725B91"/>
    <w:rsid w:val="00736668"/>
    <w:rsid w:val="00742A68"/>
    <w:rsid w:val="00743123"/>
    <w:rsid w:val="00757E90"/>
    <w:rsid w:val="007804D9"/>
    <w:rsid w:val="0078399E"/>
    <w:rsid w:val="00783B45"/>
    <w:rsid w:val="00794BB4"/>
    <w:rsid w:val="007A52DE"/>
    <w:rsid w:val="007B0752"/>
    <w:rsid w:val="007E256C"/>
    <w:rsid w:val="007F226E"/>
    <w:rsid w:val="00804A35"/>
    <w:rsid w:val="00816AA8"/>
    <w:rsid w:val="008403C4"/>
    <w:rsid w:val="00850F16"/>
    <w:rsid w:val="008566A2"/>
    <w:rsid w:val="00884786"/>
    <w:rsid w:val="00885E6E"/>
    <w:rsid w:val="008933FA"/>
    <w:rsid w:val="008B50CC"/>
    <w:rsid w:val="008E6ACF"/>
    <w:rsid w:val="008F55A6"/>
    <w:rsid w:val="0090088C"/>
    <w:rsid w:val="0091290B"/>
    <w:rsid w:val="00916DEF"/>
    <w:rsid w:val="0092632C"/>
    <w:rsid w:val="00936FAE"/>
    <w:rsid w:val="00944D60"/>
    <w:rsid w:val="00952C4B"/>
    <w:rsid w:val="009579D3"/>
    <w:rsid w:val="0099533F"/>
    <w:rsid w:val="009A7F36"/>
    <w:rsid w:val="009B47C1"/>
    <w:rsid w:val="009E17FB"/>
    <w:rsid w:val="009E1972"/>
    <w:rsid w:val="00A45D89"/>
    <w:rsid w:val="00A54240"/>
    <w:rsid w:val="00A75954"/>
    <w:rsid w:val="00AD409A"/>
    <w:rsid w:val="00B05D65"/>
    <w:rsid w:val="00B14EC0"/>
    <w:rsid w:val="00B347F2"/>
    <w:rsid w:val="00B36822"/>
    <w:rsid w:val="00B6147B"/>
    <w:rsid w:val="00B66322"/>
    <w:rsid w:val="00B66633"/>
    <w:rsid w:val="00B80804"/>
    <w:rsid w:val="00BA6FB1"/>
    <w:rsid w:val="00BB799B"/>
    <w:rsid w:val="00BC3077"/>
    <w:rsid w:val="00BC724B"/>
    <w:rsid w:val="00BD57DA"/>
    <w:rsid w:val="00BF094F"/>
    <w:rsid w:val="00C04D5C"/>
    <w:rsid w:val="00C07950"/>
    <w:rsid w:val="00C10D31"/>
    <w:rsid w:val="00C11821"/>
    <w:rsid w:val="00C231AA"/>
    <w:rsid w:val="00C42B12"/>
    <w:rsid w:val="00C46C56"/>
    <w:rsid w:val="00C47C78"/>
    <w:rsid w:val="00C64B5E"/>
    <w:rsid w:val="00C7298F"/>
    <w:rsid w:val="00C74465"/>
    <w:rsid w:val="00C76A4D"/>
    <w:rsid w:val="00C877A0"/>
    <w:rsid w:val="00C90E43"/>
    <w:rsid w:val="00CB2933"/>
    <w:rsid w:val="00CC4FC1"/>
    <w:rsid w:val="00CD3128"/>
    <w:rsid w:val="00CF28D5"/>
    <w:rsid w:val="00D059A6"/>
    <w:rsid w:val="00D421ED"/>
    <w:rsid w:val="00D600CC"/>
    <w:rsid w:val="00D73A36"/>
    <w:rsid w:val="00D76CA3"/>
    <w:rsid w:val="00DA1980"/>
    <w:rsid w:val="00DA6748"/>
    <w:rsid w:val="00DB045E"/>
    <w:rsid w:val="00DB04E6"/>
    <w:rsid w:val="00DD2791"/>
    <w:rsid w:val="00DD5BE6"/>
    <w:rsid w:val="00DF25BB"/>
    <w:rsid w:val="00DF5785"/>
    <w:rsid w:val="00DF7782"/>
    <w:rsid w:val="00E224F0"/>
    <w:rsid w:val="00E37802"/>
    <w:rsid w:val="00E52D08"/>
    <w:rsid w:val="00E52E10"/>
    <w:rsid w:val="00E60087"/>
    <w:rsid w:val="00E60820"/>
    <w:rsid w:val="00E87D4D"/>
    <w:rsid w:val="00E91F28"/>
    <w:rsid w:val="00ED4B29"/>
    <w:rsid w:val="00EE10F3"/>
    <w:rsid w:val="00EE276A"/>
    <w:rsid w:val="00EE476D"/>
    <w:rsid w:val="00F0311F"/>
    <w:rsid w:val="00F11DFE"/>
    <w:rsid w:val="00F250FA"/>
    <w:rsid w:val="00F26343"/>
    <w:rsid w:val="00F31993"/>
    <w:rsid w:val="00F516AB"/>
    <w:rsid w:val="00F85462"/>
    <w:rsid w:val="00F87288"/>
    <w:rsid w:val="00FA5FAF"/>
    <w:rsid w:val="00FB1C56"/>
    <w:rsid w:val="00FC3895"/>
    <w:rsid w:val="00FD2168"/>
    <w:rsid w:val="00FE22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763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607"/>
    <w:pPr>
      <w:widowControl w:val="0"/>
      <w:spacing w:line="240" w:lineRule="auto"/>
    </w:pPr>
    <w:rPr>
      <w:rFonts w:eastAsia="Times New Roman" w:cs="Times New Roman"/>
      <w:snapToGrid w:val="0"/>
      <w:sz w:val="24"/>
      <w:szCs w:val="20"/>
    </w:rPr>
  </w:style>
  <w:style w:type="paragraph" w:styleId="Heading1">
    <w:name w:val="heading 1"/>
    <w:basedOn w:val="Normal"/>
    <w:link w:val="Heading1Char"/>
    <w:uiPriority w:val="9"/>
    <w:qFormat/>
    <w:rsid w:val="0031348B"/>
    <w:pPr>
      <w:keepNext/>
      <w:keepLines/>
      <w:numPr>
        <w:numId w:val="1"/>
      </w:numPr>
      <w:spacing w:before="240" w:after="120"/>
      <w:outlineLvl w:val="0"/>
    </w:pPr>
    <w:rPr>
      <w:rFonts w:eastAsiaTheme="majorEastAsia" w:cstheme="majorBidi"/>
      <w:b/>
      <w:bCs/>
      <w:color w:val="000000" w:themeColor="text1"/>
      <w:szCs w:val="28"/>
      <w:u w:val="single"/>
    </w:rPr>
  </w:style>
  <w:style w:type="paragraph" w:styleId="Heading2">
    <w:name w:val="heading 2"/>
    <w:basedOn w:val="Normal"/>
    <w:next w:val="Normal"/>
    <w:link w:val="Heading2Char"/>
    <w:autoRedefine/>
    <w:unhideWhenUsed/>
    <w:qFormat/>
    <w:rsid w:val="00B347F2"/>
    <w:pPr>
      <w:keepNext/>
      <w:keepLines/>
      <w:spacing w:before="200" w:line="360" w:lineRule="auto"/>
      <w:jc w:val="center"/>
      <w:outlineLvl w:val="1"/>
    </w:pPr>
    <w:rPr>
      <w:rFonts w:eastAsiaTheme="majorEastAsia" w:cstheme="majorBidi"/>
      <w:b/>
      <w:bCs/>
      <w:szCs w:val="26"/>
      <w:u w:val="single"/>
    </w:rPr>
  </w:style>
  <w:style w:type="paragraph" w:styleId="Heading3">
    <w:name w:val="heading 3"/>
    <w:basedOn w:val="Normal"/>
    <w:next w:val="Normal"/>
    <w:link w:val="Heading3Char"/>
    <w:uiPriority w:val="9"/>
    <w:semiHidden/>
    <w:unhideWhenUsed/>
    <w:qFormat/>
    <w:rsid w:val="00081E0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81E0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81E0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81E0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81E0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81E01"/>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081E01"/>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48B"/>
    <w:rPr>
      <w:rFonts w:eastAsiaTheme="majorEastAsia" w:cstheme="majorBidi"/>
      <w:b/>
      <w:bCs/>
      <w:color w:val="000000" w:themeColor="text1"/>
      <w:sz w:val="24"/>
      <w:szCs w:val="28"/>
      <w:u w:val="single"/>
    </w:rPr>
  </w:style>
  <w:style w:type="character" w:customStyle="1" w:styleId="Heading2Char">
    <w:name w:val="Heading 2 Char"/>
    <w:basedOn w:val="DefaultParagraphFont"/>
    <w:link w:val="Heading2"/>
    <w:rsid w:val="00B347F2"/>
    <w:rPr>
      <w:rFonts w:eastAsiaTheme="majorEastAsia" w:cstheme="majorBidi"/>
      <w:b/>
      <w:bCs/>
      <w:snapToGrid w:val="0"/>
      <w:sz w:val="24"/>
      <w:szCs w:val="26"/>
      <w:u w:val="single"/>
    </w:rPr>
  </w:style>
  <w:style w:type="paragraph" w:styleId="Footer">
    <w:name w:val="footer"/>
    <w:basedOn w:val="Normal"/>
    <w:link w:val="FooterChar"/>
    <w:uiPriority w:val="99"/>
    <w:rsid w:val="00642607"/>
    <w:pPr>
      <w:widowControl/>
      <w:tabs>
        <w:tab w:val="center" w:pos="4320"/>
        <w:tab w:val="right" w:pos="8640"/>
      </w:tabs>
    </w:pPr>
    <w:rPr>
      <w:snapToGrid/>
    </w:rPr>
  </w:style>
  <w:style w:type="character" w:customStyle="1" w:styleId="FooterChar">
    <w:name w:val="Footer Char"/>
    <w:basedOn w:val="DefaultParagraphFont"/>
    <w:link w:val="Footer"/>
    <w:uiPriority w:val="99"/>
    <w:rsid w:val="00642607"/>
    <w:rPr>
      <w:rFonts w:eastAsia="Times New Roman" w:cs="Times New Roman"/>
      <w:sz w:val="24"/>
      <w:szCs w:val="20"/>
    </w:rPr>
  </w:style>
  <w:style w:type="paragraph" w:styleId="BodyText">
    <w:name w:val="Body Text"/>
    <w:basedOn w:val="Normal"/>
    <w:link w:val="BodyTextChar"/>
    <w:rsid w:val="00642607"/>
    <w:pPr>
      <w:jc w:val="both"/>
    </w:pPr>
  </w:style>
  <w:style w:type="character" w:customStyle="1" w:styleId="BodyTextChar">
    <w:name w:val="Body Text Char"/>
    <w:basedOn w:val="DefaultParagraphFont"/>
    <w:link w:val="BodyText"/>
    <w:rsid w:val="00642607"/>
    <w:rPr>
      <w:rFonts w:eastAsia="Times New Roman" w:cs="Times New Roman"/>
      <w:snapToGrid w:val="0"/>
      <w:sz w:val="24"/>
      <w:szCs w:val="20"/>
    </w:rPr>
  </w:style>
  <w:style w:type="character" w:styleId="Hyperlink">
    <w:name w:val="Hyperlink"/>
    <w:basedOn w:val="DefaultParagraphFont"/>
    <w:uiPriority w:val="99"/>
    <w:unhideWhenUsed/>
    <w:rsid w:val="007F226E"/>
    <w:rPr>
      <w:color w:val="0000FF" w:themeColor="hyperlink"/>
      <w:u w:val="single"/>
    </w:rPr>
  </w:style>
  <w:style w:type="paragraph" w:styleId="BalloonText">
    <w:name w:val="Balloon Text"/>
    <w:basedOn w:val="Normal"/>
    <w:link w:val="BalloonTextChar"/>
    <w:uiPriority w:val="99"/>
    <w:semiHidden/>
    <w:unhideWhenUsed/>
    <w:rsid w:val="007F226E"/>
    <w:rPr>
      <w:rFonts w:ascii="Tahoma" w:hAnsi="Tahoma" w:cs="Tahoma"/>
      <w:sz w:val="16"/>
      <w:szCs w:val="16"/>
    </w:rPr>
  </w:style>
  <w:style w:type="character" w:customStyle="1" w:styleId="BalloonTextChar">
    <w:name w:val="Balloon Text Char"/>
    <w:basedOn w:val="DefaultParagraphFont"/>
    <w:link w:val="BalloonText"/>
    <w:uiPriority w:val="99"/>
    <w:semiHidden/>
    <w:rsid w:val="007F226E"/>
    <w:rPr>
      <w:rFonts w:ascii="Tahoma" w:eastAsia="Times New Roman" w:hAnsi="Tahoma" w:cs="Tahoma"/>
      <w:snapToGrid w:val="0"/>
      <w:sz w:val="16"/>
      <w:szCs w:val="16"/>
    </w:rPr>
  </w:style>
  <w:style w:type="paragraph" w:styleId="ListParagraph">
    <w:name w:val="List Paragraph"/>
    <w:basedOn w:val="Normal"/>
    <w:uiPriority w:val="34"/>
    <w:qFormat/>
    <w:rsid w:val="00553863"/>
    <w:pPr>
      <w:ind w:left="720"/>
      <w:contextualSpacing/>
    </w:pPr>
  </w:style>
  <w:style w:type="paragraph" w:styleId="NormalWeb">
    <w:name w:val="Normal (Web)"/>
    <w:basedOn w:val="Normal"/>
    <w:uiPriority w:val="99"/>
    <w:unhideWhenUsed/>
    <w:rsid w:val="00601D2B"/>
    <w:pPr>
      <w:widowControl/>
      <w:spacing w:before="100" w:beforeAutospacing="1" w:after="100" w:afterAutospacing="1"/>
    </w:pPr>
    <w:rPr>
      <w:snapToGrid/>
      <w:szCs w:val="24"/>
    </w:rPr>
  </w:style>
  <w:style w:type="paragraph" w:styleId="FootnoteText">
    <w:name w:val="footnote text"/>
    <w:basedOn w:val="Normal"/>
    <w:link w:val="FootnoteTextChar"/>
    <w:uiPriority w:val="99"/>
    <w:semiHidden/>
    <w:unhideWhenUsed/>
    <w:rsid w:val="00525D49"/>
    <w:rPr>
      <w:sz w:val="20"/>
    </w:rPr>
  </w:style>
  <w:style w:type="character" w:customStyle="1" w:styleId="FootnoteTextChar">
    <w:name w:val="Footnote Text Char"/>
    <w:basedOn w:val="DefaultParagraphFont"/>
    <w:link w:val="FootnoteText"/>
    <w:uiPriority w:val="99"/>
    <w:semiHidden/>
    <w:rsid w:val="00525D49"/>
    <w:rPr>
      <w:rFonts w:eastAsia="Times New Roman" w:cs="Times New Roman"/>
      <w:snapToGrid w:val="0"/>
      <w:sz w:val="20"/>
      <w:szCs w:val="20"/>
    </w:rPr>
  </w:style>
  <w:style w:type="character" w:styleId="FootnoteReference">
    <w:name w:val="footnote reference"/>
    <w:basedOn w:val="DefaultParagraphFont"/>
    <w:uiPriority w:val="99"/>
    <w:semiHidden/>
    <w:unhideWhenUsed/>
    <w:rsid w:val="00525D49"/>
    <w:rPr>
      <w:vertAlign w:val="superscript"/>
    </w:rPr>
  </w:style>
  <w:style w:type="paragraph" w:styleId="Header">
    <w:name w:val="header"/>
    <w:basedOn w:val="Normal"/>
    <w:link w:val="HeaderChar"/>
    <w:uiPriority w:val="99"/>
    <w:unhideWhenUsed/>
    <w:rsid w:val="00525D49"/>
    <w:pPr>
      <w:tabs>
        <w:tab w:val="center" w:pos="4680"/>
        <w:tab w:val="right" w:pos="9360"/>
      </w:tabs>
    </w:pPr>
  </w:style>
  <w:style w:type="character" w:customStyle="1" w:styleId="HeaderChar">
    <w:name w:val="Header Char"/>
    <w:basedOn w:val="DefaultParagraphFont"/>
    <w:link w:val="Header"/>
    <w:uiPriority w:val="99"/>
    <w:rsid w:val="00525D49"/>
    <w:rPr>
      <w:rFonts w:eastAsia="Times New Roman" w:cs="Times New Roman"/>
      <w:snapToGrid w:val="0"/>
      <w:sz w:val="24"/>
      <w:szCs w:val="20"/>
    </w:rPr>
  </w:style>
  <w:style w:type="character" w:customStyle="1" w:styleId="costarpage">
    <w:name w:val="co_starpage"/>
    <w:basedOn w:val="DefaultParagraphFont"/>
    <w:rsid w:val="00916DEF"/>
  </w:style>
  <w:style w:type="character" w:styleId="Emphasis">
    <w:name w:val="Emphasis"/>
    <w:basedOn w:val="DefaultParagraphFont"/>
    <w:uiPriority w:val="20"/>
    <w:qFormat/>
    <w:rsid w:val="00916DEF"/>
    <w:rPr>
      <w:i/>
      <w:iCs/>
    </w:rPr>
  </w:style>
  <w:style w:type="character" w:customStyle="1" w:styleId="Heading9Char">
    <w:name w:val="Heading 9 Char"/>
    <w:basedOn w:val="DefaultParagraphFont"/>
    <w:link w:val="Heading9"/>
    <w:uiPriority w:val="9"/>
    <w:semiHidden/>
    <w:rsid w:val="00081E01"/>
    <w:rPr>
      <w:rFonts w:asciiTheme="majorHAnsi" w:eastAsiaTheme="majorEastAsia" w:hAnsiTheme="majorHAnsi" w:cstheme="majorBidi"/>
      <w:i/>
      <w:iCs/>
      <w:snapToGrid w:val="0"/>
      <w:color w:val="404040" w:themeColor="text1" w:themeTint="BF"/>
      <w:sz w:val="20"/>
      <w:szCs w:val="20"/>
    </w:rPr>
  </w:style>
  <w:style w:type="character" w:customStyle="1" w:styleId="Heading8Char">
    <w:name w:val="Heading 8 Char"/>
    <w:basedOn w:val="DefaultParagraphFont"/>
    <w:link w:val="Heading8"/>
    <w:uiPriority w:val="9"/>
    <w:semiHidden/>
    <w:rsid w:val="00081E01"/>
    <w:rPr>
      <w:rFonts w:asciiTheme="majorHAnsi" w:eastAsiaTheme="majorEastAsia" w:hAnsiTheme="majorHAnsi" w:cstheme="majorBidi"/>
      <w:snapToGrid w:val="0"/>
      <w:color w:val="404040" w:themeColor="text1" w:themeTint="BF"/>
      <w:sz w:val="20"/>
      <w:szCs w:val="20"/>
    </w:rPr>
  </w:style>
  <w:style w:type="character" w:customStyle="1" w:styleId="Heading7Char">
    <w:name w:val="Heading 7 Char"/>
    <w:basedOn w:val="DefaultParagraphFont"/>
    <w:link w:val="Heading7"/>
    <w:uiPriority w:val="9"/>
    <w:semiHidden/>
    <w:rsid w:val="00081E01"/>
    <w:rPr>
      <w:rFonts w:asciiTheme="majorHAnsi" w:eastAsiaTheme="majorEastAsia" w:hAnsiTheme="majorHAnsi" w:cstheme="majorBidi"/>
      <w:i/>
      <w:iCs/>
      <w:snapToGrid w:val="0"/>
      <w:color w:val="404040" w:themeColor="text1" w:themeTint="BF"/>
      <w:sz w:val="24"/>
      <w:szCs w:val="20"/>
    </w:rPr>
  </w:style>
  <w:style w:type="character" w:customStyle="1" w:styleId="Heading6Char">
    <w:name w:val="Heading 6 Char"/>
    <w:basedOn w:val="DefaultParagraphFont"/>
    <w:link w:val="Heading6"/>
    <w:uiPriority w:val="9"/>
    <w:semiHidden/>
    <w:rsid w:val="00081E01"/>
    <w:rPr>
      <w:rFonts w:asciiTheme="majorHAnsi" w:eastAsiaTheme="majorEastAsia" w:hAnsiTheme="majorHAnsi" w:cstheme="majorBidi"/>
      <w:i/>
      <w:iCs/>
      <w:snapToGrid w:val="0"/>
      <w:color w:val="243F60" w:themeColor="accent1" w:themeShade="7F"/>
      <w:sz w:val="24"/>
      <w:szCs w:val="20"/>
    </w:rPr>
  </w:style>
  <w:style w:type="character" w:customStyle="1" w:styleId="Heading5Char">
    <w:name w:val="Heading 5 Char"/>
    <w:basedOn w:val="DefaultParagraphFont"/>
    <w:link w:val="Heading5"/>
    <w:uiPriority w:val="9"/>
    <w:semiHidden/>
    <w:rsid w:val="00081E01"/>
    <w:rPr>
      <w:rFonts w:asciiTheme="majorHAnsi" w:eastAsiaTheme="majorEastAsia" w:hAnsiTheme="majorHAnsi" w:cstheme="majorBidi"/>
      <w:snapToGrid w:val="0"/>
      <w:color w:val="243F60" w:themeColor="accent1" w:themeShade="7F"/>
      <w:sz w:val="24"/>
      <w:szCs w:val="20"/>
    </w:rPr>
  </w:style>
  <w:style w:type="character" w:customStyle="1" w:styleId="Heading4Char">
    <w:name w:val="Heading 4 Char"/>
    <w:basedOn w:val="DefaultParagraphFont"/>
    <w:link w:val="Heading4"/>
    <w:uiPriority w:val="9"/>
    <w:semiHidden/>
    <w:rsid w:val="00081E01"/>
    <w:rPr>
      <w:rFonts w:asciiTheme="majorHAnsi" w:eastAsiaTheme="majorEastAsia" w:hAnsiTheme="majorHAnsi" w:cstheme="majorBidi"/>
      <w:b/>
      <w:bCs/>
      <w:i/>
      <w:iCs/>
      <w:snapToGrid w:val="0"/>
      <w:color w:val="4F81BD" w:themeColor="accent1"/>
      <w:sz w:val="24"/>
      <w:szCs w:val="20"/>
    </w:rPr>
  </w:style>
  <w:style w:type="character" w:customStyle="1" w:styleId="Heading3Char">
    <w:name w:val="Heading 3 Char"/>
    <w:basedOn w:val="DefaultParagraphFont"/>
    <w:link w:val="Heading3"/>
    <w:uiPriority w:val="9"/>
    <w:semiHidden/>
    <w:rsid w:val="00081E01"/>
    <w:rPr>
      <w:rFonts w:asciiTheme="majorHAnsi" w:eastAsiaTheme="majorEastAsia" w:hAnsiTheme="majorHAnsi" w:cstheme="majorBidi"/>
      <w:b/>
      <w:bCs/>
      <w:snapToGrid w:val="0"/>
      <w:color w:val="4F81BD" w:themeColor="accent1"/>
      <w:sz w:val="24"/>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607"/>
    <w:pPr>
      <w:widowControl w:val="0"/>
      <w:spacing w:line="240" w:lineRule="auto"/>
    </w:pPr>
    <w:rPr>
      <w:rFonts w:eastAsia="Times New Roman" w:cs="Times New Roman"/>
      <w:snapToGrid w:val="0"/>
      <w:sz w:val="24"/>
      <w:szCs w:val="20"/>
    </w:rPr>
  </w:style>
  <w:style w:type="paragraph" w:styleId="Heading1">
    <w:name w:val="heading 1"/>
    <w:basedOn w:val="Normal"/>
    <w:link w:val="Heading1Char"/>
    <w:uiPriority w:val="9"/>
    <w:qFormat/>
    <w:rsid w:val="0031348B"/>
    <w:pPr>
      <w:keepNext/>
      <w:keepLines/>
      <w:numPr>
        <w:numId w:val="1"/>
      </w:numPr>
      <w:spacing w:before="240" w:after="120"/>
      <w:outlineLvl w:val="0"/>
    </w:pPr>
    <w:rPr>
      <w:rFonts w:eastAsiaTheme="majorEastAsia" w:cstheme="majorBidi"/>
      <w:b/>
      <w:bCs/>
      <w:color w:val="000000" w:themeColor="text1"/>
      <w:szCs w:val="28"/>
      <w:u w:val="single"/>
    </w:rPr>
  </w:style>
  <w:style w:type="paragraph" w:styleId="Heading2">
    <w:name w:val="heading 2"/>
    <w:basedOn w:val="Normal"/>
    <w:next w:val="Normal"/>
    <w:link w:val="Heading2Char"/>
    <w:autoRedefine/>
    <w:unhideWhenUsed/>
    <w:qFormat/>
    <w:rsid w:val="00B347F2"/>
    <w:pPr>
      <w:keepNext/>
      <w:keepLines/>
      <w:spacing w:before="200" w:line="360" w:lineRule="auto"/>
      <w:jc w:val="center"/>
      <w:outlineLvl w:val="1"/>
    </w:pPr>
    <w:rPr>
      <w:rFonts w:eastAsiaTheme="majorEastAsia" w:cstheme="majorBidi"/>
      <w:b/>
      <w:bCs/>
      <w:szCs w:val="26"/>
      <w:u w:val="single"/>
    </w:rPr>
  </w:style>
  <w:style w:type="paragraph" w:styleId="Heading3">
    <w:name w:val="heading 3"/>
    <w:basedOn w:val="Normal"/>
    <w:next w:val="Normal"/>
    <w:link w:val="Heading3Char"/>
    <w:uiPriority w:val="9"/>
    <w:semiHidden/>
    <w:unhideWhenUsed/>
    <w:qFormat/>
    <w:rsid w:val="00081E0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81E0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81E0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81E0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81E0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81E01"/>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081E01"/>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48B"/>
    <w:rPr>
      <w:rFonts w:eastAsiaTheme="majorEastAsia" w:cstheme="majorBidi"/>
      <w:b/>
      <w:bCs/>
      <w:color w:val="000000" w:themeColor="text1"/>
      <w:sz w:val="24"/>
      <w:szCs w:val="28"/>
      <w:u w:val="single"/>
    </w:rPr>
  </w:style>
  <w:style w:type="character" w:customStyle="1" w:styleId="Heading2Char">
    <w:name w:val="Heading 2 Char"/>
    <w:basedOn w:val="DefaultParagraphFont"/>
    <w:link w:val="Heading2"/>
    <w:rsid w:val="00B347F2"/>
    <w:rPr>
      <w:rFonts w:eastAsiaTheme="majorEastAsia" w:cstheme="majorBidi"/>
      <w:b/>
      <w:bCs/>
      <w:snapToGrid w:val="0"/>
      <w:sz w:val="24"/>
      <w:szCs w:val="26"/>
      <w:u w:val="single"/>
    </w:rPr>
  </w:style>
  <w:style w:type="paragraph" w:styleId="Footer">
    <w:name w:val="footer"/>
    <w:basedOn w:val="Normal"/>
    <w:link w:val="FooterChar"/>
    <w:uiPriority w:val="99"/>
    <w:rsid w:val="00642607"/>
    <w:pPr>
      <w:widowControl/>
      <w:tabs>
        <w:tab w:val="center" w:pos="4320"/>
        <w:tab w:val="right" w:pos="8640"/>
      </w:tabs>
    </w:pPr>
    <w:rPr>
      <w:snapToGrid/>
    </w:rPr>
  </w:style>
  <w:style w:type="character" w:customStyle="1" w:styleId="FooterChar">
    <w:name w:val="Footer Char"/>
    <w:basedOn w:val="DefaultParagraphFont"/>
    <w:link w:val="Footer"/>
    <w:uiPriority w:val="99"/>
    <w:rsid w:val="00642607"/>
    <w:rPr>
      <w:rFonts w:eastAsia="Times New Roman" w:cs="Times New Roman"/>
      <w:sz w:val="24"/>
      <w:szCs w:val="20"/>
    </w:rPr>
  </w:style>
  <w:style w:type="paragraph" w:styleId="BodyText">
    <w:name w:val="Body Text"/>
    <w:basedOn w:val="Normal"/>
    <w:link w:val="BodyTextChar"/>
    <w:rsid w:val="00642607"/>
    <w:pPr>
      <w:jc w:val="both"/>
    </w:pPr>
  </w:style>
  <w:style w:type="character" w:customStyle="1" w:styleId="BodyTextChar">
    <w:name w:val="Body Text Char"/>
    <w:basedOn w:val="DefaultParagraphFont"/>
    <w:link w:val="BodyText"/>
    <w:rsid w:val="00642607"/>
    <w:rPr>
      <w:rFonts w:eastAsia="Times New Roman" w:cs="Times New Roman"/>
      <w:snapToGrid w:val="0"/>
      <w:sz w:val="24"/>
      <w:szCs w:val="20"/>
    </w:rPr>
  </w:style>
  <w:style w:type="character" w:styleId="Hyperlink">
    <w:name w:val="Hyperlink"/>
    <w:basedOn w:val="DefaultParagraphFont"/>
    <w:uiPriority w:val="99"/>
    <w:unhideWhenUsed/>
    <w:rsid w:val="007F226E"/>
    <w:rPr>
      <w:color w:val="0000FF" w:themeColor="hyperlink"/>
      <w:u w:val="single"/>
    </w:rPr>
  </w:style>
  <w:style w:type="paragraph" w:styleId="BalloonText">
    <w:name w:val="Balloon Text"/>
    <w:basedOn w:val="Normal"/>
    <w:link w:val="BalloonTextChar"/>
    <w:uiPriority w:val="99"/>
    <w:semiHidden/>
    <w:unhideWhenUsed/>
    <w:rsid w:val="007F226E"/>
    <w:rPr>
      <w:rFonts w:ascii="Tahoma" w:hAnsi="Tahoma" w:cs="Tahoma"/>
      <w:sz w:val="16"/>
      <w:szCs w:val="16"/>
    </w:rPr>
  </w:style>
  <w:style w:type="character" w:customStyle="1" w:styleId="BalloonTextChar">
    <w:name w:val="Balloon Text Char"/>
    <w:basedOn w:val="DefaultParagraphFont"/>
    <w:link w:val="BalloonText"/>
    <w:uiPriority w:val="99"/>
    <w:semiHidden/>
    <w:rsid w:val="007F226E"/>
    <w:rPr>
      <w:rFonts w:ascii="Tahoma" w:eastAsia="Times New Roman" w:hAnsi="Tahoma" w:cs="Tahoma"/>
      <w:snapToGrid w:val="0"/>
      <w:sz w:val="16"/>
      <w:szCs w:val="16"/>
    </w:rPr>
  </w:style>
  <w:style w:type="paragraph" w:styleId="ListParagraph">
    <w:name w:val="List Paragraph"/>
    <w:basedOn w:val="Normal"/>
    <w:uiPriority w:val="34"/>
    <w:qFormat/>
    <w:rsid w:val="00553863"/>
    <w:pPr>
      <w:ind w:left="720"/>
      <w:contextualSpacing/>
    </w:pPr>
  </w:style>
  <w:style w:type="paragraph" w:styleId="NormalWeb">
    <w:name w:val="Normal (Web)"/>
    <w:basedOn w:val="Normal"/>
    <w:uiPriority w:val="99"/>
    <w:unhideWhenUsed/>
    <w:rsid w:val="00601D2B"/>
    <w:pPr>
      <w:widowControl/>
      <w:spacing w:before="100" w:beforeAutospacing="1" w:after="100" w:afterAutospacing="1"/>
    </w:pPr>
    <w:rPr>
      <w:snapToGrid/>
      <w:szCs w:val="24"/>
    </w:rPr>
  </w:style>
  <w:style w:type="paragraph" w:styleId="FootnoteText">
    <w:name w:val="footnote text"/>
    <w:basedOn w:val="Normal"/>
    <w:link w:val="FootnoteTextChar"/>
    <w:uiPriority w:val="99"/>
    <w:semiHidden/>
    <w:unhideWhenUsed/>
    <w:rsid w:val="00525D49"/>
    <w:rPr>
      <w:sz w:val="20"/>
    </w:rPr>
  </w:style>
  <w:style w:type="character" w:customStyle="1" w:styleId="FootnoteTextChar">
    <w:name w:val="Footnote Text Char"/>
    <w:basedOn w:val="DefaultParagraphFont"/>
    <w:link w:val="FootnoteText"/>
    <w:uiPriority w:val="99"/>
    <w:semiHidden/>
    <w:rsid w:val="00525D49"/>
    <w:rPr>
      <w:rFonts w:eastAsia="Times New Roman" w:cs="Times New Roman"/>
      <w:snapToGrid w:val="0"/>
      <w:sz w:val="20"/>
      <w:szCs w:val="20"/>
    </w:rPr>
  </w:style>
  <w:style w:type="character" w:styleId="FootnoteReference">
    <w:name w:val="footnote reference"/>
    <w:basedOn w:val="DefaultParagraphFont"/>
    <w:uiPriority w:val="99"/>
    <w:semiHidden/>
    <w:unhideWhenUsed/>
    <w:rsid w:val="00525D49"/>
    <w:rPr>
      <w:vertAlign w:val="superscript"/>
    </w:rPr>
  </w:style>
  <w:style w:type="paragraph" w:styleId="Header">
    <w:name w:val="header"/>
    <w:basedOn w:val="Normal"/>
    <w:link w:val="HeaderChar"/>
    <w:uiPriority w:val="99"/>
    <w:unhideWhenUsed/>
    <w:rsid w:val="00525D49"/>
    <w:pPr>
      <w:tabs>
        <w:tab w:val="center" w:pos="4680"/>
        <w:tab w:val="right" w:pos="9360"/>
      </w:tabs>
    </w:pPr>
  </w:style>
  <w:style w:type="character" w:customStyle="1" w:styleId="HeaderChar">
    <w:name w:val="Header Char"/>
    <w:basedOn w:val="DefaultParagraphFont"/>
    <w:link w:val="Header"/>
    <w:uiPriority w:val="99"/>
    <w:rsid w:val="00525D49"/>
    <w:rPr>
      <w:rFonts w:eastAsia="Times New Roman" w:cs="Times New Roman"/>
      <w:snapToGrid w:val="0"/>
      <w:sz w:val="24"/>
      <w:szCs w:val="20"/>
    </w:rPr>
  </w:style>
  <w:style w:type="character" w:customStyle="1" w:styleId="costarpage">
    <w:name w:val="co_starpage"/>
    <w:basedOn w:val="DefaultParagraphFont"/>
    <w:rsid w:val="00916DEF"/>
  </w:style>
  <w:style w:type="character" w:styleId="Emphasis">
    <w:name w:val="Emphasis"/>
    <w:basedOn w:val="DefaultParagraphFont"/>
    <w:uiPriority w:val="20"/>
    <w:qFormat/>
    <w:rsid w:val="00916DEF"/>
    <w:rPr>
      <w:i/>
      <w:iCs/>
    </w:rPr>
  </w:style>
  <w:style w:type="character" w:customStyle="1" w:styleId="Heading9Char">
    <w:name w:val="Heading 9 Char"/>
    <w:basedOn w:val="DefaultParagraphFont"/>
    <w:link w:val="Heading9"/>
    <w:uiPriority w:val="9"/>
    <w:semiHidden/>
    <w:rsid w:val="00081E01"/>
    <w:rPr>
      <w:rFonts w:asciiTheme="majorHAnsi" w:eastAsiaTheme="majorEastAsia" w:hAnsiTheme="majorHAnsi" w:cstheme="majorBidi"/>
      <w:i/>
      <w:iCs/>
      <w:snapToGrid w:val="0"/>
      <w:color w:val="404040" w:themeColor="text1" w:themeTint="BF"/>
      <w:sz w:val="20"/>
      <w:szCs w:val="20"/>
    </w:rPr>
  </w:style>
  <w:style w:type="character" w:customStyle="1" w:styleId="Heading8Char">
    <w:name w:val="Heading 8 Char"/>
    <w:basedOn w:val="DefaultParagraphFont"/>
    <w:link w:val="Heading8"/>
    <w:uiPriority w:val="9"/>
    <w:semiHidden/>
    <w:rsid w:val="00081E01"/>
    <w:rPr>
      <w:rFonts w:asciiTheme="majorHAnsi" w:eastAsiaTheme="majorEastAsia" w:hAnsiTheme="majorHAnsi" w:cstheme="majorBidi"/>
      <w:snapToGrid w:val="0"/>
      <w:color w:val="404040" w:themeColor="text1" w:themeTint="BF"/>
      <w:sz w:val="20"/>
      <w:szCs w:val="20"/>
    </w:rPr>
  </w:style>
  <w:style w:type="character" w:customStyle="1" w:styleId="Heading7Char">
    <w:name w:val="Heading 7 Char"/>
    <w:basedOn w:val="DefaultParagraphFont"/>
    <w:link w:val="Heading7"/>
    <w:uiPriority w:val="9"/>
    <w:semiHidden/>
    <w:rsid w:val="00081E01"/>
    <w:rPr>
      <w:rFonts w:asciiTheme="majorHAnsi" w:eastAsiaTheme="majorEastAsia" w:hAnsiTheme="majorHAnsi" w:cstheme="majorBidi"/>
      <w:i/>
      <w:iCs/>
      <w:snapToGrid w:val="0"/>
      <w:color w:val="404040" w:themeColor="text1" w:themeTint="BF"/>
      <w:sz w:val="24"/>
      <w:szCs w:val="20"/>
    </w:rPr>
  </w:style>
  <w:style w:type="character" w:customStyle="1" w:styleId="Heading6Char">
    <w:name w:val="Heading 6 Char"/>
    <w:basedOn w:val="DefaultParagraphFont"/>
    <w:link w:val="Heading6"/>
    <w:uiPriority w:val="9"/>
    <w:semiHidden/>
    <w:rsid w:val="00081E01"/>
    <w:rPr>
      <w:rFonts w:asciiTheme="majorHAnsi" w:eastAsiaTheme="majorEastAsia" w:hAnsiTheme="majorHAnsi" w:cstheme="majorBidi"/>
      <w:i/>
      <w:iCs/>
      <w:snapToGrid w:val="0"/>
      <w:color w:val="243F60" w:themeColor="accent1" w:themeShade="7F"/>
      <w:sz w:val="24"/>
      <w:szCs w:val="20"/>
    </w:rPr>
  </w:style>
  <w:style w:type="character" w:customStyle="1" w:styleId="Heading5Char">
    <w:name w:val="Heading 5 Char"/>
    <w:basedOn w:val="DefaultParagraphFont"/>
    <w:link w:val="Heading5"/>
    <w:uiPriority w:val="9"/>
    <w:semiHidden/>
    <w:rsid w:val="00081E01"/>
    <w:rPr>
      <w:rFonts w:asciiTheme="majorHAnsi" w:eastAsiaTheme="majorEastAsia" w:hAnsiTheme="majorHAnsi" w:cstheme="majorBidi"/>
      <w:snapToGrid w:val="0"/>
      <w:color w:val="243F60" w:themeColor="accent1" w:themeShade="7F"/>
      <w:sz w:val="24"/>
      <w:szCs w:val="20"/>
    </w:rPr>
  </w:style>
  <w:style w:type="character" w:customStyle="1" w:styleId="Heading4Char">
    <w:name w:val="Heading 4 Char"/>
    <w:basedOn w:val="DefaultParagraphFont"/>
    <w:link w:val="Heading4"/>
    <w:uiPriority w:val="9"/>
    <w:semiHidden/>
    <w:rsid w:val="00081E01"/>
    <w:rPr>
      <w:rFonts w:asciiTheme="majorHAnsi" w:eastAsiaTheme="majorEastAsia" w:hAnsiTheme="majorHAnsi" w:cstheme="majorBidi"/>
      <w:b/>
      <w:bCs/>
      <w:i/>
      <w:iCs/>
      <w:snapToGrid w:val="0"/>
      <w:color w:val="4F81BD" w:themeColor="accent1"/>
      <w:sz w:val="24"/>
      <w:szCs w:val="20"/>
    </w:rPr>
  </w:style>
  <w:style w:type="character" w:customStyle="1" w:styleId="Heading3Char">
    <w:name w:val="Heading 3 Char"/>
    <w:basedOn w:val="DefaultParagraphFont"/>
    <w:link w:val="Heading3"/>
    <w:uiPriority w:val="9"/>
    <w:semiHidden/>
    <w:rsid w:val="00081E01"/>
    <w:rPr>
      <w:rFonts w:asciiTheme="majorHAnsi" w:eastAsiaTheme="majorEastAsia" w:hAnsiTheme="majorHAnsi" w:cstheme="majorBidi"/>
      <w:b/>
      <w:bCs/>
      <w:snapToGrid w:val="0"/>
      <w:color w:val="4F81BD" w:themeColor="accent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75882">
      <w:bodyDiv w:val="1"/>
      <w:marLeft w:val="0"/>
      <w:marRight w:val="0"/>
      <w:marTop w:val="0"/>
      <w:marBottom w:val="0"/>
      <w:divBdr>
        <w:top w:val="none" w:sz="0" w:space="0" w:color="auto"/>
        <w:left w:val="none" w:sz="0" w:space="0" w:color="auto"/>
        <w:bottom w:val="none" w:sz="0" w:space="0" w:color="auto"/>
        <w:right w:val="none" w:sz="0" w:space="0" w:color="auto"/>
      </w:divBdr>
      <w:divsChild>
        <w:div w:id="1178810869">
          <w:marLeft w:val="0"/>
          <w:marRight w:val="0"/>
          <w:marTop w:val="0"/>
          <w:marBottom w:val="0"/>
          <w:divBdr>
            <w:top w:val="none" w:sz="0" w:space="0" w:color="auto"/>
            <w:left w:val="none" w:sz="0" w:space="0" w:color="auto"/>
            <w:bottom w:val="none" w:sz="0" w:space="0" w:color="auto"/>
            <w:right w:val="none" w:sz="0" w:space="0" w:color="auto"/>
          </w:divBdr>
          <w:divsChild>
            <w:div w:id="15899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83860">
      <w:bodyDiv w:val="1"/>
      <w:marLeft w:val="0"/>
      <w:marRight w:val="0"/>
      <w:marTop w:val="0"/>
      <w:marBottom w:val="0"/>
      <w:divBdr>
        <w:top w:val="none" w:sz="0" w:space="0" w:color="auto"/>
        <w:left w:val="none" w:sz="0" w:space="0" w:color="auto"/>
        <w:bottom w:val="none" w:sz="0" w:space="0" w:color="auto"/>
        <w:right w:val="none" w:sz="0" w:space="0" w:color="auto"/>
      </w:divBdr>
    </w:div>
    <w:div w:id="84613403">
      <w:bodyDiv w:val="1"/>
      <w:marLeft w:val="0"/>
      <w:marRight w:val="0"/>
      <w:marTop w:val="0"/>
      <w:marBottom w:val="0"/>
      <w:divBdr>
        <w:top w:val="none" w:sz="0" w:space="0" w:color="auto"/>
        <w:left w:val="none" w:sz="0" w:space="0" w:color="auto"/>
        <w:bottom w:val="none" w:sz="0" w:space="0" w:color="auto"/>
        <w:right w:val="none" w:sz="0" w:space="0" w:color="auto"/>
      </w:divBdr>
      <w:divsChild>
        <w:div w:id="2084058372">
          <w:marLeft w:val="0"/>
          <w:marRight w:val="0"/>
          <w:marTop w:val="0"/>
          <w:marBottom w:val="0"/>
          <w:divBdr>
            <w:top w:val="none" w:sz="0" w:space="0" w:color="auto"/>
            <w:left w:val="none" w:sz="0" w:space="0" w:color="auto"/>
            <w:bottom w:val="none" w:sz="0" w:space="0" w:color="auto"/>
            <w:right w:val="none" w:sz="0" w:space="0" w:color="auto"/>
          </w:divBdr>
          <w:divsChild>
            <w:div w:id="109605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6663">
      <w:bodyDiv w:val="1"/>
      <w:marLeft w:val="0"/>
      <w:marRight w:val="0"/>
      <w:marTop w:val="0"/>
      <w:marBottom w:val="0"/>
      <w:divBdr>
        <w:top w:val="none" w:sz="0" w:space="0" w:color="auto"/>
        <w:left w:val="none" w:sz="0" w:space="0" w:color="auto"/>
        <w:bottom w:val="none" w:sz="0" w:space="0" w:color="auto"/>
        <w:right w:val="none" w:sz="0" w:space="0" w:color="auto"/>
      </w:divBdr>
      <w:divsChild>
        <w:div w:id="175122608">
          <w:marLeft w:val="0"/>
          <w:marRight w:val="0"/>
          <w:marTop w:val="0"/>
          <w:marBottom w:val="0"/>
          <w:divBdr>
            <w:top w:val="none" w:sz="0" w:space="0" w:color="auto"/>
            <w:left w:val="none" w:sz="0" w:space="0" w:color="auto"/>
            <w:bottom w:val="none" w:sz="0" w:space="0" w:color="auto"/>
            <w:right w:val="none" w:sz="0" w:space="0" w:color="auto"/>
          </w:divBdr>
          <w:divsChild>
            <w:div w:id="15782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0382">
      <w:bodyDiv w:val="1"/>
      <w:marLeft w:val="0"/>
      <w:marRight w:val="0"/>
      <w:marTop w:val="0"/>
      <w:marBottom w:val="0"/>
      <w:divBdr>
        <w:top w:val="none" w:sz="0" w:space="0" w:color="auto"/>
        <w:left w:val="none" w:sz="0" w:space="0" w:color="auto"/>
        <w:bottom w:val="none" w:sz="0" w:space="0" w:color="auto"/>
        <w:right w:val="none" w:sz="0" w:space="0" w:color="auto"/>
      </w:divBdr>
      <w:divsChild>
        <w:div w:id="1564442106">
          <w:marLeft w:val="0"/>
          <w:marRight w:val="0"/>
          <w:marTop w:val="0"/>
          <w:marBottom w:val="0"/>
          <w:divBdr>
            <w:top w:val="none" w:sz="0" w:space="0" w:color="auto"/>
            <w:left w:val="none" w:sz="0" w:space="0" w:color="auto"/>
            <w:bottom w:val="none" w:sz="0" w:space="0" w:color="auto"/>
            <w:right w:val="none" w:sz="0" w:space="0" w:color="auto"/>
          </w:divBdr>
          <w:divsChild>
            <w:div w:id="213332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3982">
      <w:bodyDiv w:val="1"/>
      <w:marLeft w:val="0"/>
      <w:marRight w:val="0"/>
      <w:marTop w:val="0"/>
      <w:marBottom w:val="0"/>
      <w:divBdr>
        <w:top w:val="none" w:sz="0" w:space="0" w:color="auto"/>
        <w:left w:val="none" w:sz="0" w:space="0" w:color="auto"/>
        <w:bottom w:val="none" w:sz="0" w:space="0" w:color="auto"/>
        <w:right w:val="none" w:sz="0" w:space="0" w:color="auto"/>
      </w:divBdr>
      <w:divsChild>
        <w:div w:id="537276473">
          <w:marLeft w:val="0"/>
          <w:marRight w:val="0"/>
          <w:marTop w:val="0"/>
          <w:marBottom w:val="0"/>
          <w:divBdr>
            <w:top w:val="none" w:sz="0" w:space="0" w:color="auto"/>
            <w:left w:val="none" w:sz="0" w:space="0" w:color="auto"/>
            <w:bottom w:val="none" w:sz="0" w:space="0" w:color="auto"/>
            <w:right w:val="none" w:sz="0" w:space="0" w:color="auto"/>
          </w:divBdr>
          <w:divsChild>
            <w:div w:id="141867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58664">
      <w:bodyDiv w:val="1"/>
      <w:marLeft w:val="0"/>
      <w:marRight w:val="0"/>
      <w:marTop w:val="0"/>
      <w:marBottom w:val="0"/>
      <w:divBdr>
        <w:top w:val="none" w:sz="0" w:space="0" w:color="auto"/>
        <w:left w:val="none" w:sz="0" w:space="0" w:color="auto"/>
        <w:bottom w:val="none" w:sz="0" w:space="0" w:color="auto"/>
        <w:right w:val="none" w:sz="0" w:space="0" w:color="auto"/>
      </w:divBdr>
      <w:divsChild>
        <w:div w:id="1760632972">
          <w:marLeft w:val="0"/>
          <w:marRight w:val="0"/>
          <w:marTop w:val="0"/>
          <w:marBottom w:val="0"/>
          <w:divBdr>
            <w:top w:val="none" w:sz="0" w:space="0" w:color="auto"/>
            <w:left w:val="none" w:sz="0" w:space="0" w:color="auto"/>
            <w:bottom w:val="none" w:sz="0" w:space="0" w:color="auto"/>
            <w:right w:val="none" w:sz="0" w:space="0" w:color="auto"/>
          </w:divBdr>
          <w:divsChild>
            <w:div w:id="143813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5579">
      <w:bodyDiv w:val="1"/>
      <w:marLeft w:val="0"/>
      <w:marRight w:val="0"/>
      <w:marTop w:val="0"/>
      <w:marBottom w:val="0"/>
      <w:divBdr>
        <w:top w:val="none" w:sz="0" w:space="0" w:color="auto"/>
        <w:left w:val="none" w:sz="0" w:space="0" w:color="auto"/>
        <w:bottom w:val="none" w:sz="0" w:space="0" w:color="auto"/>
        <w:right w:val="none" w:sz="0" w:space="0" w:color="auto"/>
      </w:divBdr>
    </w:div>
    <w:div w:id="982467947">
      <w:bodyDiv w:val="1"/>
      <w:marLeft w:val="0"/>
      <w:marRight w:val="0"/>
      <w:marTop w:val="0"/>
      <w:marBottom w:val="0"/>
      <w:divBdr>
        <w:top w:val="none" w:sz="0" w:space="0" w:color="auto"/>
        <w:left w:val="none" w:sz="0" w:space="0" w:color="auto"/>
        <w:bottom w:val="none" w:sz="0" w:space="0" w:color="auto"/>
        <w:right w:val="none" w:sz="0" w:space="0" w:color="auto"/>
      </w:divBdr>
      <w:divsChild>
        <w:div w:id="847867406">
          <w:marLeft w:val="0"/>
          <w:marRight w:val="0"/>
          <w:marTop w:val="0"/>
          <w:marBottom w:val="0"/>
          <w:divBdr>
            <w:top w:val="none" w:sz="0" w:space="0" w:color="auto"/>
            <w:left w:val="none" w:sz="0" w:space="0" w:color="auto"/>
            <w:bottom w:val="none" w:sz="0" w:space="0" w:color="auto"/>
            <w:right w:val="none" w:sz="0" w:space="0" w:color="auto"/>
          </w:divBdr>
          <w:divsChild>
            <w:div w:id="9114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95026">
      <w:bodyDiv w:val="1"/>
      <w:marLeft w:val="0"/>
      <w:marRight w:val="0"/>
      <w:marTop w:val="0"/>
      <w:marBottom w:val="0"/>
      <w:divBdr>
        <w:top w:val="none" w:sz="0" w:space="0" w:color="auto"/>
        <w:left w:val="none" w:sz="0" w:space="0" w:color="auto"/>
        <w:bottom w:val="none" w:sz="0" w:space="0" w:color="auto"/>
        <w:right w:val="none" w:sz="0" w:space="0" w:color="auto"/>
      </w:divBdr>
    </w:div>
    <w:div w:id="1399326228">
      <w:bodyDiv w:val="1"/>
      <w:marLeft w:val="0"/>
      <w:marRight w:val="0"/>
      <w:marTop w:val="0"/>
      <w:marBottom w:val="0"/>
      <w:divBdr>
        <w:top w:val="none" w:sz="0" w:space="0" w:color="auto"/>
        <w:left w:val="none" w:sz="0" w:space="0" w:color="auto"/>
        <w:bottom w:val="none" w:sz="0" w:space="0" w:color="auto"/>
        <w:right w:val="none" w:sz="0" w:space="0" w:color="auto"/>
      </w:divBdr>
      <w:divsChild>
        <w:div w:id="1975284639">
          <w:marLeft w:val="0"/>
          <w:marRight w:val="0"/>
          <w:marTop w:val="0"/>
          <w:marBottom w:val="0"/>
          <w:divBdr>
            <w:top w:val="none" w:sz="0" w:space="0" w:color="auto"/>
            <w:left w:val="none" w:sz="0" w:space="0" w:color="auto"/>
            <w:bottom w:val="none" w:sz="0" w:space="0" w:color="auto"/>
            <w:right w:val="none" w:sz="0" w:space="0" w:color="auto"/>
          </w:divBdr>
          <w:divsChild>
            <w:div w:id="19199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774197">
      <w:bodyDiv w:val="1"/>
      <w:marLeft w:val="0"/>
      <w:marRight w:val="0"/>
      <w:marTop w:val="0"/>
      <w:marBottom w:val="0"/>
      <w:divBdr>
        <w:top w:val="none" w:sz="0" w:space="0" w:color="auto"/>
        <w:left w:val="none" w:sz="0" w:space="0" w:color="auto"/>
        <w:bottom w:val="none" w:sz="0" w:space="0" w:color="auto"/>
        <w:right w:val="none" w:sz="0" w:space="0" w:color="auto"/>
      </w:divBdr>
    </w:div>
    <w:div w:id="1507939129">
      <w:bodyDiv w:val="1"/>
      <w:marLeft w:val="0"/>
      <w:marRight w:val="0"/>
      <w:marTop w:val="0"/>
      <w:marBottom w:val="0"/>
      <w:divBdr>
        <w:top w:val="none" w:sz="0" w:space="0" w:color="auto"/>
        <w:left w:val="none" w:sz="0" w:space="0" w:color="auto"/>
        <w:bottom w:val="none" w:sz="0" w:space="0" w:color="auto"/>
        <w:right w:val="none" w:sz="0" w:space="0" w:color="auto"/>
      </w:divBdr>
      <w:divsChild>
        <w:div w:id="701636019">
          <w:marLeft w:val="0"/>
          <w:marRight w:val="0"/>
          <w:marTop w:val="0"/>
          <w:marBottom w:val="0"/>
          <w:divBdr>
            <w:top w:val="none" w:sz="0" w:space="0" w:color="auto"/>
            <w:left w:val="none" w:sz="0" w:space="0" w:color="auto"/>
            <w:bottom w:val="none" w:sz="0" w:space="0" w:color="auto"/>
            <w:right w:val="none" w:sz="0" w:space="0" w:color="auto"/>
          </w:divBdr>
          <w:divsChild>
            <w:div w:id="1128010976">
              <w:marLeft w:val="0"/>
              <w:marRight w:val="0"/>
              <w:marTop w:val="0"/>
              <w:marBottom w:val="0"/>
              <w:divBdr>
                <w:top w:val="none" w:sz="0" w:space="0" w:color="auto"/>
                <w:left w:val="none" w:sz="0" w:space="0" w:color="auto"/>
                <w:bottom w:val="none" w:sz="0" w:space="0" w:color="auto"/>
                <w:right w:val="none" w:sz="0" w:space="0" w:color="auto"/>
              </w:divBdr>
              <w:divsChild>
                <w:div w:id="1235235331">
                  <w:marLeft w:val="0"/>
                  <w:marRight w:val="0"/>
                  <w:marTop w:val="0"/>
                  <w:marBottom w:val="0"/>
                  <w:divBdr>
                    <w:top w:val="none" w:sz="0" w:space="0" w:color="auto"/>
                    <w:left w:val="none" w:sz="0" w:space="0" w:color="auto"/>
                    <w:bottom w:val="none" w:sz="0" w:space="0" w:color="auto"/>
                    <w:right w:val="none" w:sz="0" w:space="0" w:color="auto"/>
                  </w:divBdr>
                  <w:divsChild>
                    <w:div w:id="1892570820">
                      <w:marLeft w:val="0"/>
                      <w:marRight w:val="0"/>
                      <w:marTop w:val="0"/>
                      <w:marBottom w:val="0"/>
                      <w:divBdr>
                        <w:top w:val="none" w:sz="0" w:space="0" w:color="auto"/>
                        <w:left w:val="none" w:sz="0" w:space="0" w:color="auto"/>
                        <w:bottom w:val="none" w:sz="0" w:space="0" w:color="auto"/>
                        <w:right w:val="none" w:sz="0" w:space="0" w:color="auto"/>
                      </w:divBdr>
                      <w:divsChild>
                        <w:div w:id="403603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447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158537">
              <w:marLeft w:val="0"/>
              <w:marRight w:val="0"/>
              <w:marTop w:val="0"/>
              <w:marBottom w:val="0"/>
              <w:divBdr>
                <w:top w:val="none" w:sz="0" w:space="0" w:color="auto"/>
                <w:left w:val="none" w:sz="0" w:space="0" w:color="auto"/>
                <w:bottom w:val="none" w:sz="0" w:space="0" w:color="auto"/>
                <w:right w:val="none" w:sz="0" w:space="0" w:color="auto"/>
              </w:divBdr>
              <w:divsChild>
                <w:div w:id="1963534333">
                  <w:marLeft w:val="0"/>
                  <w:marRight w:val="0"/>
                  <w:marTop w:val="0"/>
                  <w:marBottom w:val="0"/>
                  <w:divBdr>
                    <w:top w:val="none" w:sz="0" w:space="0" w:color="auto"/>
                    <w:left w:val="none" w:sz="0" w:space="0" w:color="auto"/>
                    <w:bottom w:val="none" w:sz="0" w:space="0" w:color="auto"/>
                    <w:right w:val="none" w:sz="0" w:space="0" w:color="auto"/>
                  </w:divBdr>
                </w:div>
              </w:divsChild>
            </w:div>
            <w:div w:id="16416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4692">
      <w:bodyDiv w:val="1"/>
      <w:marLeft w:val="0"/>
      <w:marRight w:val="0"/>
      <w:marTop w:val="0"/>
      <w:marBottom w:val="0"/>
      <w:divBdr>
        <w:top w:val="none" w:sz="0" w:space="0" w:color="auto"/>
        <w:left w:val="none" w:sz="0" w:space="0" w:color="auto"/>
        <w:bottom w:val="none" w:sz="0" w:space="0" w:color="auto"/>
        <w:right w:val="none" w:sz="0" w:space="0" w:color="auto"/>
      </w:divBdr>
    </w:div>
    <w:div w:id="176687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33ECC-7C3D-A246-9D9F-F948EF3B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4551</Words>
  <Characters>23430</Characters>
  <Application>Microsoft Macintosh Word</Application>
  <DocSecurity>0</DocSecurity>
  <Lines>336</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28062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2012-03-30T14:08:00Z</cp:lastPrinted>
  <dcterms:created xsi:type="dcterms:W3CDTF">2012-04-11T01:57:00Z</dcterms:created>
  <dcterms:modified xsi:type="dcterms:W3CDTF">2012-06-02T12:45:00Z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d5ea63a9-4324-4444-b692-8d074be76f16</vt:lpwstr>
  </property>
  <property fmtid="{D5CDD505-2E9C-101B-9397-08002B2CF9AE}" pid="3" name="DocumentToolsEventId">
    <vt:lpwstr>9480074e-59c4-4731-ba6b-2a1f44d5151d</vt:lpwstr>
  </property>
</Properties>
</file>